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50" w:right="0" w:firstLine="0"/>
        <w:rPr>
          <w:rFonts w:ascii="Times New Roman"/>
          <w:sz w:val="20"/>
        </w:rPr>
      </w:pPr>
      <w:r>
        <w:rPr>
          <w:rFonts w:ascii="Times New Roman"/>
          <w:sz w:val="20"/>
        </w:rPr>
        <w:drawing>
          <wp:inline distT="0" distB="0" distL="0" distR="0">
            <wp:extent cx="7154585" cy="1327403"/>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154585" cy="1327403"/>
                    </a:xfrm>
                    <a:prstGeom prst="rect">
                      <a:avLst/>
                    </a:prstGeom>
                  </pic:spPr>
                </pic:pic>
              </a:graphicData>
            </a:graphic>
          </wp:inline>
        </w:drawing>
      </w:r>
      <w:r>
        <w:rPr>
          <w:rFonts w:ascii="Times New Roman"/>
          <w:sz w:val="20"/>
        </w:rPr>
      </w:r>
    </w:p>
    <w:p>
      <w:pPr>
        <w:pStyle w:val="Heading2"/>
      </w:pPr>
      <w:r>
        <w:rPr/>
        <w:t>AVIS</w:t>
      </w:r>
      <w:r>
        <w:rPr>
          <w:spacing w:val="-3"/>
        </w:rPr>
        <w:t> </w:t>
      </w:r>
      <w:r>
        <w:rPr/>
        <w:t>SPECIFIQUE</w:t>
      </w:r>
      <w:r>
        <w:rPr>
          <w:spacing w:val="-3"/>
        </w:rPr>
        <w:t> </w:t>
      </w:r>
      <w:r>
        <w:rPr/>
        <w:t>DE</w:t>
      </w:r>
      <w:r>
        <w:rPr>
          <w:spacing w:val="-3"/>
        </w:rPr>
        <w:t> </w:t>
      </w:r>
      <w:r>
        <w:rPr/>
        <w:t>PASSATION</w:t>
      </w:r>
      <w:r>
        <w:rPr>
          <w:spacing w:val="-3"/>
        </w:rPr>
        <w:t> </w:t>
      </w:r>
      <w:r>
        <w:rPr/>
        <w:t>DE</w:t>
      </w:r>
      <w:r>
        <w:rPr>
          <w:spacing w:val="-4"/>
        </w:rPr>
        <w:t> </w:t>
      </w:r>
      <w:r>
        <w:rPr/>
        <w:t>MARCHES</w:t>
      </w:r>
      <w:r>
        <w:rPr>
          <w:spacing w:val="-2"/>
        </w:rPr>
        <w:t> (ASPM)</w:t>
      </w:r>
    </w:p>
    <w:p>
      <w:pPr>
        <w:pStyle w:val="BodyText"/>
        <w:spacing w:before="49"/>
        <w:rPr>
          <w:b/>
          <w:sz w:val="20"/>
        </w:rPr>
      </w:pPr>
    </w:p>
    <w:tbl>
      <w:tblPr>
        <w:tblW w:w="0" w:type="auto"/>
        <w:jc w:val="left"/>
        <w:tblInd w:w="1090" w:type="dxa"/>
        <w:tblBorders>
          <w:top w:val="single" w:sz="4" w:space="0" w:color="002563"/>
          <w:left w:val="single" w:sz="4" w:space="0" w:color="002563"/>
          <w:bottom w:val="single" w:sz="4" w:space="0" w:color="002563"/>
          <w:right w:val="single" w:sz="4" w:space="0" w:color="002563"/>
          <w:insideH w:val="single" w:sz="4" w:space="0" w:color="002563"/>
          <w:insideV w:val="single" w:sz="4" w:space="0" w:color="002563"/>
        </w:tblBorders>
        <w:tblLayout w:type="fixed"/>
        <w:tblCellMar>
          <w:top w:w="0" w:type="dxa"/>
          <w:left w:w="0" w:type="dxa"/>
          <w:bottom w:w="0" w:type="dxa"/>
          <w:right w:w="0" w:type="dxa"/>
        </w:tblCellMar>
        <w:tblLook w:val="01E0"/>
      </w:tblPr>
      <w:tblGrid>
        <w:gridCol w:w="3505"/>
        <w:gridCol w:w="5845"/>
      </w:tblGrid>
      <w:tr>
        <w:trPr>
          <w:trHeight w:val="465" w:hRule="atLeast"/>
        </w:trPr>
        <w:tc>
          <w:tcPr>
            <w:tcW w:w="3505" w:type="dxa"/>
          </w:tcPr>
          <w:p>
            <w:pPr>
              <w:pStyle w:val="TableParagraph"/>
              <w:rPr>
                <w:sz w:val="24"/>
              </w:rPr>
            </w:pPr>
            <w:r>
              <w:rPr>
                <w:spacing w:val="-4"/>
                <w:sz w:val="24"/>
              </w:rPr>
              <w:t>Pays</w:t>
            </w:r>
          </w:p>
        </w:tc>
        <w:tc>
          <w:tcPr>
            <w:tcW w:w="5845" w:type="dxa"/>
          </w:tcPr>
          <w:p>
            <w:pPr>
              <w:pStyle w:val="TableParagraph"/>
              <w:spacing w:before="98"/>
              <w:rPr>
                <w:b/>
                <w:sz w:val="22"/>
              </w:rPr>
            </w:pPr>
            <w:r>
              <w:rPr>
                <w:b/>
                <w:sz w:val="22"/>
              </w:rPr>
              <w:t>République</w:t>
            </w:r>
            <w:r>
              <w:rPr>
                <w:b/>
                <w:spacing w:val="-8"/>
                <w:sz w:val="22"/>
              </w:rPr>
              <w:t> </w:t>
            </w:r>
            <w:r>
              <w:rPr>
                <w:b/>
                <w:sz w:val="22"/>
              </w:rPr>
              <w:t>de</w:t>
            </w:r>
            <w:r>
              <w:rPr>
                <w:b/>
                <w:spacing w:val="-9"/>
                <w:sz w:val="22"/>
              </w:rPr>
              <w:t> </w:t>
            </w:r>
            <w:r>
              <w:rPr>
                <w:b/>
                <w:sz w:val="22"/>
              </w:rPr>
              <w:t>Côte</w:t>
            </w:r>
            <w:r>
              <w:rPr>
                <w:b/>
                <w:spacing w:val="-7"/>
                <w:sz w:val="22"/>
              </w:rPr>
              <w:t> </w:t>
            </w:r>
            <w:r>
              <w:rPr>
                <w:b/>
                <w:spacing w:val="-2"/>
                <w:sz w:val="22"/>
              </w:rPr>
              <w:t>d’Ivoire</w:t>
            </w:r>
          </w:p>
        </w:tc>
      </w:tr>
      <w:tr>
        <w:trPr>
          <w:trHeight w:val="465" w:hRule="atLeast"/>
        </w:trPr>
        <w:tc>
          <w:tcPr>
            <w:tcW w:w="3505" w:type="dxa"/>
          </w:tcPr>
          <w:p>
            <w:pPr>
              <w:pStyle w:val="TableParagraph"/>
              <w:rPr>
                <w:sz w:val="24"/>
              </w:rPr>
            </w:pPr>
            <w:r>
              <w:rPr>
                <w:spacing w:val="-2"/>
                <w:sz w:val="24"/>
              </w:rPr>
              <w:t>Projet</w:t>
            </w:r>
          </w:p>
        </w:tc>
        <w:tc>
          <w:tcPr>
            <w:tcW w:w="5845" w:type="dxa"/>
          </w:tcPr>
          <w:p>
            <w:pPr>
              <w:pStyle w:val="TableParagraph"/>
              <w:spacing w:before="98"/>
              <w:rPr>
                <w:b/>
                <w:sz w:val="22"/>
              </w:rPr>
            </w:pPr>
            <w:r>
              <w:rPr>
                <w:b/>
                <w:sz w:val="22"/>
              </w:rPr>
              <w:t>Compact</w:t>
            </w:r>
            <w:r>
              <w:rPr>
                <w:b/>
                <w:spacing w:val="-13"/>
                <w:sz w:val="22"/>
              </w:rPr>
              <w:t> </w:t>
            </w:r>
            <w:r>
              <w:rPr>
                <w:b/>
                <w:sz w:val="22"/>
              </w:rPr>
              <w:t>Régional</w:t>
            </w:r>
            <w:r>
              <w:rPr>
                <w:b/>
                <w:spacing w:val="-11"/>
                <w:sz w:val="22"/>
              </w:rPr>
              <w:t> </w:t>
            </w:r>
            <w:r>
              <w:rPr>
                <w:b/>
                <w:spacing w:val="-2"/>
                <w:sz w:val="22"/>
              </w:rPr>
              <w:t>Energie</w:t>
            </w:r>
          </w:p>
        </w:tc>
      </w:tr>
      <w:tr>
        <w:trPr>
          <w:trHeight w:val="465" w:hRule="atLeast"/>
        </w:trPr>
        <w:tc>
          <w:tcPr>
            <w:tcW w:w="3505" w:type="dxa"/>
          </w:tcPr>
          <w:p>
            <w:pPr>
              <w:pStyle w:val="TableParagraph"/>
              <w:rPr>
                <w:sz w:val="24"/>
              </w:rPr>
            </w:pPr>
            <w:r>
              <w:rPr>
                <w:sz w:val="24"/>
              </w:rPr>
              <w:t>Titre</w:t>
            </w:r>
            <w:r>
              <w:rPr>
                <w:spacing w:val="-2"/>
                <w:sz w:val="24"/>
              </w:rPr>
              <w:t> </w:t>
            </w:r>
            <w:r>
              <w:rPr>
                <w:sz w:val="24"/>
              </w:rPr>
              <w:t>du</w:t>
            </w:r>
            <w:r>
              <w:rPr>
                <w:spacing w:val="-2"/>
                <w:sz w:val="24"/>
              </w:rPr>
              <w:t> </w:t>
            </w:r>
            <w:r>
              <w:rPr>
                <w:sz w:val="24"/>
              </w:rPr>
              <w:t>dossier</w:t>
            </w:r>
            <w:r>
              <w:rPr>
                <w:spacing w:val="-2"/>
                <w:sz w:val="24"/>
              </w:rPr>
              <w:t> </w:t>
            </w:r>
            <w:r>
              <w:rPr>
                <w:sz w:val="24"/>
              </w:rPr>
              <w:t>de</w:t>
            </w:r>
            <w:r>
              <w:rPr>
                <w:spacing w:val="-1"/>
                <w:sz w:val="24"/>
              </w:rPr>
              <w:t> </w:t>
            </w:r>
            <w:r>
              <w:rPr>
                <w:spacing w:val="-2"/>
                <w:sz w:val="24"/>
              </w:rPr>
              <w:t>Passation</w:t>
            </w:r>
          </w:p>
        </w:tc>
        <w:tc>
          <w:tcPr>
            <w:tcW w:w="5845" w:type="dxa"/>
          </w:tcPr>
          <w:p>
            <w:pPr>
              <w:pStyle w:val="TableParagraph"/>
              <w:spacing w:before="98"/>
              <w:rPr>
                <w:b/>
                <w:sz w:val="22"/>
              </w:rPr>
            </w:pPr>
            <w:r>
              <w:rPr>
                <w:b/>
                <w:spacing w:val="-2"/>
                <w:sz w:val="22"/>
              </w:rPr>
              <w:t>Services</w:t>
            </w:r>
            <w:r>
              <w:rPr>
                <w:b/>
                <w:spacing w:val="4"/>
                <w:sz w:val="22"/>
              </w:rPr>
              <w:t> </w:t>
            </w:r>
            <w:r>
              <w:rPr>
                <w:b/>
                <w:spacing w:val="-2"/>
                <w:sz w:val="22"/>
              </w:rPr>
              <w:t>juridiques</w:t>
            </w:r>
            <w:r>
              <w:rPr>
                <w:b/>
                <w:spacing w:val="6"/>
                <w:sz w:val="22"/>
              </w:rPr>
              <w:t> </w:t>
            </w:r>
            <w:r>
              <w:rPr>
                <w:b/>
                <w:spacing w:val="-2"/>
                <w:sz w:val="22"/>
              </w:rPr>
              <w:t>externes</w:t>
            </w:r>
          </w:p>
        </w:tc>
      </w:tr>
      <w:tr>
        <w:trPr>
          <w:trHeight w:val="463" w:hRule="atLeast"/>
        </w:trPr>
        <w:tc>
          <w:tcPr>
            <w:tcW w:w="3505" w:type="dxa"/>
          </w:tcPr>
          <w:p>
            <w:pPr>
              <w:pStyle w:val="TableParagraph"/>
              <w:rPr>
                <w:sz w:val="24"/>
              </w:rPr>
            </w:pPr>
            <w:r>
              <w:rPr>
                <w:sz w:val="24"/>
              </w:rPr>
              <w:t>No</w:t>
            </w:r>
            <w:r>
              <w:rPr>
                <w:spacing w:val="-2"/>
                <w:sz w:val="24"/>
              </w:rPr>
              <w:t> </w:t>
            </w:r>
            <w:r>
              <w:rPr>
                <w:sz w:val="24"/>
              </w:rPr>
              <w:t>de</w:t>
            </w:r>
            <w:r>
              <w:rPr>
                <w:spacing w:val="-2"/>
                <w:sz w:val="24"/>
              </w:rPr>
              <w:t> </w:t>
            </w:r>
            <w:r>
              <w:rPr>
                <w:sz w:val="24"/>
              </w:rPr>
              <w:t>Reference</w:t>
            </w:r>
            <w:r>
              <w:rPr>
                <w:spacing w:val="-2"/>
                <w:sz w:val="24"/>
              </w:rPr>
              <w:t> </w:t>
            </w:r>
            <w:r>
              <w:rPr>
                <w:sz w:val="24"/>
              </w:rPr>
              <w:t>du</w:t>
            </w:r>
            <w:r>
              <w:rPr>
                <w:spacing w:val="-2"/>
                <w:sz w:val="24"/>
              </w:rPr>
              <w:t> Dossier</w:t>
            </w:r>
          </w:p>
        </w:tc>
        <w:tc>
          <w:tcPr>
            <w:tcW w:w="5845" w:type="dxa"/>
          </w:tcPr>
          <w:p>
            <w:pPr>
              <w:pStyle w:val="TableParagraph"/>
              <w:spacing w:before="98"/>
              <w:rPr>
                <w:b/>
                <w:sz w:val="22"/>
              </w:rPr>
            </w:pPr>
            <w:r>
              <w:rPr>
                <w:b/>
                <w:spacing w:val="-2"/>
                <w:sz w:val="22"/>
              </w:rPr>
              <w:t>MCA-CI-Regional/CONSULTANT/QCBS/CFPCRCI-26-</w:t>
            </w:r>
            <w:r>
              <w:rPr>
                <w:b/>
                <w:spacing w:val="-4"/>
                <w:sz w:val="22"/>
              </w:rPr>
              <w:t>4016</w:t>
            </w:r>
          </w:p>
        </w:tc>
      </w:tr>
      <w:tr>
        <w:trPr>
          <w:trHeight w:val="465" w:hRule="atLeast"/>
        </w:trPr>
        <w:tc>
          <w:tcPr>
            <w:tcW w:w="3505" w:type="dxa"/>
          </w:tcPr>
          <w:p>
            <w:pPr>
              <w:pStyle w:val="TableParagraph"/>
              <w:rPr>
                <w:sz w:val="24"/>
              </w:rPr>
            </w:pPr>
            <w:r>
              <w:rPr>
                <w:sz w:val="24"/>
              </w:rPr>
              <w:t>Type</w:t>
            </w:r>
            <w:r>
              <w:rPr>
                <w:spacing w:val="-4"/>
                <w:sz w:val="24"/>
              </w:rPr>
              <w:t> </w:t>
            </w:r>
            <w:r>
              <w:rPr>
                <w:sz w:val="24"/>
              </w:rPr>
              <w:t>de</w:t>
            </w:r>
            <w:r>
              <w:rPr>
                <w:spacing w:val="-1"/>
                <w:sz w:val="24"/>
              </w:rPr>
              <w:t> </w:t>
            </w:r>
            <w:r>
              <w:rPr>
                <w:spacing w:val="-2"/>
                <w:sz w:val="24"/>
              </w:rPr>
              <w:t>Passation</w:t>
            </w:r>
          </w:p>
        </w:tc>
        <w:tc>
          <w:tcPr>
            <w:tcW w:w="5845" w:type="dxa"/>
          </w:tcPr>
          <w:p>
            <w:pPr>
              <w:pStyle w:val="TableParagraph"/>
              <w:spacing w:before="98"/>
              <w:rPr>
                <w:b/>
                <w:sz w:val="22"/>
              </w:rPr>
            </w:pPr>
            <w:r>
              <w:rPr>
                <w:b/>
                <w:sz w:val="22"/>
              </w:rPr>
              <w:t>Sélection</w:t>
            </w:r>
            <w:r>
              <w:rPr>
                <w:b/>
                <w:spacing w:val="-5"/>
                <w:sz w:val="22"/>
              </w:rPr>
              <w:t> </w:t>
            </w:r>
            <w:r>
              <w:rPr>
                <w:b/>
                <w:sz w:val="22"/>
              </w:rPr>
              <w:t>Basée</w:t>
            </w:r>
            <w:r>
              <w:rPr>
                <w:b/>
                <w:spacing w:val="-6"/>
                <w:sz w:val="22"/>
              </w:rPr>
              <w:t> </w:t>
            </w:r>
            <w:r>
              <w:rPr>
                <w:b/>
                <w:sz w:val="22"/>
              </w:rPr>
              <w:t>sur</w:t>
            </w:r>
            <w:r>
              <w:rPr>
                <w:b/>
                <w:spacing w:val="-6"/>
                <w:sz w:val="22"/>
              </w:rPr>
              <w:t> </w:t>
            </w:r>
            <w:r>
              <w:rPr>
                <w:b/>
                <w:sz w:val="22"/>
              </w:rPr>
              <w:t>la</w:t>
            </w:r>
            <w:r>
              <w:rPr>
                <w:b/>
                <w:spacing w:val="-6"/>
                <w:sz w:val="22"/>
              </w:rPr>
              <w:t> </w:t>
            </w:r>
            <w:r>
              <w:rPr>
                <w:b/>
                <w:sz w:val="22"/>
              </w:rPr>
              <w:t>Qualité</w:t>
            </w:r>
            <w:r>
              <w:rPr>
                <w:b/>
                <w:spacing w:val="-5"/>
                <w:sz w:val="22"/>
              </w:rPr>
              <w:t> </w:t>
            </w:r>
            <w:r>
              <w:rPr>
                <w:b/>
                <w:sz w:val="22"/>
              </w:rPr>
              <w:t>et</w:t>
            </w:r>
            <w:r>
              <w:rPr>
                <w:b/>
                <w:spacing w:val="-5"/>
                <w:sz w:val="22"/>
              </w:rPr>
              <w:t> </w:t>
            </w:r>
            <w:r>
              <w:rPr>
                <w:b/>
                <w:sz w:val="22"/>
              </w:rPr>
              <w:t>le</w:t>
            </w:r>
            <w:r>
              <w:rPr>
                <w:b/>
                <w:spacing w:val="-5"/>
                <w:sz w:val="22"/>
              </w:rPr>
              <w:t> </w:t>
            </w:r>
            <w:r>
              <w:rPr>
                <w:b/>
                <w:sz w:val="22"/>
              </w:rPr>
              <w:t>Coût</w:t>
            </w:r>
            <w:r>
              <w:rPr>
                <w:b/>
                <w:spacing w:val="-5"/>
                <w:sz w:val="22"/>
              </w:rPr>
              <w:t> </w:t>
            </w:r>
            <w:r>
              <w:rPr>
                <w:b/>
                <w:spacing w:val="-2"/>
                <w:sz w:val="22"/>
              </w:rPr>
              <w:t>(SBQC)</w:t>
            </w:r>
          </w:p>
        </w:tc>
      </w:tr>
      <w:tr>
        <w:trPr>
          <w:trHeight w:val="465" w:hRule="atLeast"/>
        </w:trPr>
        <w:tc>
          <w:tcPr>
            <w:tcW w:w="3505" w:type="dxa"/>
          </w:tcPr>
          <w:p>
            <w:pPr>
              <w:pStyle w:val="TableParagraph"/>
              <w:rPr>
                <w:sz w:val="24"/>
              </w:rPr>
            </w:pPr>
            <w:r>
              <w:rPr>
                <w:spacing w:val="-2"/>
                <w:sz w:val="24"/>
              </w:rPr>
              <w:t>Acheteur</w:t>
            </w:r>
          </w:p>
        </w:tc>
        <w:tc>
          <w:tcPr>
            <w:tcW w:w="5845" w:type="dxa"/>
          </w:tcPr>
          <w:p>
            <w:pPr>
              <w:pStyle w:val="TableParagraph"/>
              <w:spacing w:before="98"/>
              <w:rPr>
                <w:b/>
                <w:sz w:val="22"/>
              </w:rPr>
            </w:pPr>
            <w:r>
              <w:rPr>
                <w:b/>
                <w:sz w:val="22"/>
              </w:rPr>
              <w:t>MCA-Côte</w:t>
            </w:r>
            <w:r>
              <w:rPr>
                <w:b/>
                <w:spacing w:val="-12"/>
                <w:sz w:val="22"/>
              </w:rPr>
              <w:t> </w:t>
            </w:r>
            <w:r>
              <w:rPr>
                <w:b/>
                <w:sz w:val="22"/>
              </w:rPr>
              <w:t>d’Ivoire</w:t>
            </w:r>
            <w:r>
              <w:rPr>
                <w:b/>
                <w:spacing w:val="-12"/>
                <w:sz w:val="22"/>
              </w:rPr>
              <w:t> </w:t>
            </w:r>
            <w:r>
              <w:rPr>
                <w:b/>
                <w:spacing w:val="-2"/>
                <w:sz w:val="22"/>
              </w:rPr>
              <w:t>Régional</w:t>
            </w:r>
          </w:p>
        </w:tc>
      </w:tr>
      <w:tr>
        <w:trPr>
          <w:trHeight w:val="465" w:hRule="atLeast"/>
        </w:trPr>
        <w:tc>
          <w:tcPr>
            <w:tcW w:w="3505" w:type="dxa"/>
          </w:tcPr>
          <w:p>
            <w:pPr>
              <w:pStyle w:val="TableParagraph"/>
              <w:rPr>
                <w:sz w:val="24"/>
              </w:rPr>
            </w:pPr>
            <w:r>
              <w:rPr>
                <w:sz w:val="24"/>
              </w:rPr>
              <w:t>Date de </w:t>
            </w:r>
            <w:r>
              <w:rPr>
                <w:spacing w:val="-2"/>
                <w:sz w:val="24"/>
              </w:rPr>
              <w:t>Publication</w:t>
            </w:r>
          </w:p>
        </w:tc>
        <w:tc>
          <w:tcPr>
            <w:tcW w:w="5845" w:type="dxa"/>
          </w:tcPr>
          <w:p>
            <w:pPr>
              <w:pStyle w:val="TableParagraph"/>
              <w:spacing w:before="98"/>
              <w:rPr>
                <w:b/>
                <w:sz w:val="22"/>
              </w:rPr>
            </w:pPr>
            <w:r>
              <w:rPr>
                <w:b/>
                <w:sz w:val="22"/>
              </w:rPr>
              <w:t>11</w:t>
            </w:r>
            <w:r>
              <w:rPr>
                <w:b/>
                <w:spacing w:val="-9"/>
                <w:sz w:val="22"/>
              </w:rPr>
              <w:t> </w:t>
            </w:r>
            <w:r>
              <w:rPr>
                <w:b/>
                <w:sz w:val="22"/>
              </w:rPr>
              <w:t>septembre</w:t>
            </w:r>
            <w:r>
              <w:rPr>
                <w:b/>
                <w:spacing w:val="-8"/>
                <w:sz w:val="22"/>
              </w:rPr>
              <w:t> </w:t>
            </w:r>
            <w:r>
              <w:rPr>
                <w:b/>
                <w:spacing w:val="-4"/>
                <w:sz w:val="22"/>
              </w:rPr>
              <w:t>2026</w:t>
            </w:r>
          </w:p>
        </w:tc>
      </w:tr>
      <w:tr>
        <w:trPr>
          <w:trHeight w:val="508" w:hRule="atLeast"/>
        </w:trPr>
        <w:tc>
          <w:tcPr>
            <w:tcW w:w="3505" w:type="dxa"/>
          </w:tcPr>
          <w:p>
            <w:pPr>
              <w:pStyle w:val="TableParagraph"/>
              <w:spacing w:before="107"/>
              <w:rPr>
                <w:b/>
                <w:sz w:val="24"/>
              </w:rPr>
            </w:pPr>
            <w:r>
              <w:rPr>
                <w:b/>
                <w:sz w:val="24"/>
              </w:rPr>
              <w:t>Date</w:t>
            </w:r>
            <w:r>
              <w:rPr>
                <w:b/>
                <w:spacing w:val="-2"/>
                <w:sz w:val="24"/>
              </w:rPr>
              <w:t> </w:t>
            </w:r>
            <w:r>
              <w:rPr>
                <w:b/>
                <w:sz w:val="24"/>
              </w:rPr>
              <w:t>de</w:t>
            </w:r>
            <w:r>
              <w:rPr>
                <w:b/>
                <w:spacing w:val="-1"/>
                <w:sz w:val="24"/>
              </w:rPr>
              <w:t> </w:t>
            </w:r>
            <w:r>
              <w:rPr>
                <w:b/>
                <w:spacing w:val="-2"/>
                <w:sz w:val="24"/>
              </w:rPr>
              <w:t>Soumission</w:t>
            </w:r>
          </w:p>
        </w:tc>
        <w:tc>
          <w:tcPr>
            <w:tcW w:w="5845" w:type="dxa"/>
          </w:tcPr>
          <w:p>
            <w:pPr>
              <w:pStyle w:val="TableParagraph"/>
              <w:spacing w:before="120"/>
              <w:rPr>
                <w:b/>
                <w:sz w:val="22"/>
              </w:rPr>
            </w:pPr>
            <w:r>
              <w:rPr>
                <w:b/>
                <w:sz w:val="22"/>
              </w:rPr>
              <w:t>08</w:t>
            </w:r>
            <w:r>
              <w:rPr>
                <w:b/>
                <w:spacing w:val="-8"/>
                <w:sz w:val="22"/>
              </w:rPr>
              <w:t> </w:t>
            </w:r>
            <w:r>
              <w:rPr>
                <w:b/>
                <w:sz w:val="22"/>
              </w:rPr>
              <w:t>octobre</w:t>
            </w:r>
            <w:r>
              <w:rPr>
                <w:b/>
                <w:spacing w:val="-7"/>
                <w:sz w:val="22"/>
              </w:rPr>
              <w:t> </w:t>
            </w:r>
            <w:r>
              <w:rPr>
                <w:b/>
                <w:spacing w:val="-4"/>
                <w:sz w:val="22"/>
              </w:rPr>
              <w:t>2026</w:t>
            </w:r>
          </w:p>
        </w:tc>
      </w:tr>
    </w:tbl>
    <w:p>
      <w:pPr>
        <w:pStyle w:val="BodyText"/>
        <w:spacing w:before="1"/>
        <w:rPr>
          <w:b/>
        </w:rPr>
      </w:pPr>
    </w:p>
    <w:p>
      <w:pPr>
        <w:pStyle w:val="BodyText"/>
        <w:spacing w:line="259" w:lineRule="auto"/>
        <w:ind w:left="1080" w:right="1074"/>
        <w:jc w:val="both"/>
      </w:pPr>
      <w:r>
        <w:rPr/>
        <w:t>Le</w:t>
      </w:r>
      <w:r>
        <w:rPr>
          <w:spacing w:val="-8"/>
        </w:rPr>
        <w:t> </w:t>
      </w:r>
      <w:r>
        <w:rPr/>
        <w:t>Millennium</w:t>
      </w:r>
      <w:r>
        <w:rPr>
          <w:spacing w:val="-8"/>
        </w:rPr>
        <w:t> </w:t>
      </w:r>
      <w:r>
        <w:rPr/>
        <w:t>Challenge</w:t>
      </w:r>
      <w:r>
        <w:rPr>
          <w:spacing w:val="-7"/>
        </w:rPr>
        <w:t> </w:t>
      </w:r>
      <w:r>
        <w:rPr/>
        <w:t>Corporation</w:t>
      </w:r>
      <w:r>
        <w:rPr>
          <w:spacing w:val="-7"/>
        </w:rPr>
        <w:t> </w:t>
      </w:r>
      <w:r>
        <w:rPr/>
        <w:t>(MCC)</w:t>
      </w:r>
      <w:r>
        <w:rPr>
          <w:spacing w:val="-8"/>
        </w:rPr>
        <w:t> </w:t>
      </w:r>
      <w:r>
        <w:rPr/>
        <w:t>est</w:t>
      </w:r>
      <w:r>
        <w:rPr>
          <w:spacing w:val="-7"/>
        </w:rPr>
        <w:t> </w:t>
      </w:r>
      <w:r>
        <w:rPr/>
        <w:t>une</w:t>
      </w:r>
      <w:r>
        <w:rPr>
          <w:spacing w:val="-8"/>
        </w:rPr>
        <w:t> </w:t>
      </w:r>
      <w:r>
        <w:rPr/>
        <w:t>institution</w:t>
      </w:r>
      <w:r>
        <w:rPr>
          <w:spacing w:val="-8"/>
        </w:rPr>
        <w:t> </w:t>
      </w:r>
      <w:r>
        <w:rPr/>
        <w:t>du</w:t>
      </w:r>
      <w:r>
        <w:rPr>
          <w:spacing w:val="-7"/>
        </w:rPr>
        <w:t> </w:t>
      </w:r>
      <w:r>
        <w:rPr/>
        <w:t>Gouvernement</w:t>
      </w:r>
      <w:r>
        <w:rPr>
          <w:spacing w:val="-7"/>
        </w:rPr>
        <w:t> </w:t>
      </w:r>
      <w:r>
        <w:rPr/>
        <w:t>des</w:t>
      </w:r>
      <w:r>
        <w:rPr>
          <w:spacing w:val="-7"/>
        </w:rPr>
        <w:t> </w:t>
      </w:r>
      <w:r>
        <w:rPr/>
        <w:t>États-Unis d’Amérique qui travaille avec les pays en développement pour promouvoir la réduction de la pauvreté</w:t>
      </w:r>
      <w:r>
        <w:rPr>
          <w:spacing w:val="-1"/>
        </w:rPr>
        <w:t> </w:t>
      </w:r>
      <w:r>
        <w:rPr/>
        <w:t>par</w:t>
      </w:r>
      <w:r>
        <w:rPr>
          <w:spacing w:val="-2"/>
        </w:rPr>
        <w:t> </w:t>
      </w:r>
      <w:r>
        <w:rPr/>
        <w:t>la</w:t>
      </w:r>
      <w:r>
        <w:rPr>
          <w:spacing w:val="-2"/>
        </w:rPr>
        <w:t> </w:t>
      </w:r>
      <w:r>
        <w:rPr/>
        <w:t>croissance</w:t>
      </w:r>
      <w:r>
        <w:rPr>
          <w:spacing w:val="-1"/>
        </w:rPr>
        <w:t> </w:t>
      </w:r>
      <w:r>
        <w:rPr/>
        <w:t>économique</w:t>
      </w:r>
      <w:r>
        <w:rPr>
          <w:spacing w:val="-1"/>
        </w:rPr>
        <w:t> </w:t>
      </w:r>
      <w:r>
        <w:rPr/>
        <w:t>durable.</w:t>
      </w:r>
      <w:r>
        <w:rPr>
          <w:spacing w:val="-1"/>
        </w:rPr>
        <w:t> </w:t>
      </w:r>
      <w:r>
        <w:rPr/>
        <w:t>En</w:t>
      </w:r>
      <w:r>
        <w:rPr>
          <w:spacing w:val="-2"/>
        </w:rPr>
        <w:t> </w:t>
      </w:r>
      <w:r>
        <w:rPr/>
        <w:t>collaboration</w:t>
      </w:r>
      <w:r>
        <w:rPr>
          <w:spacing w:val="-2"/>
        </w:rPr>
        <w:t> </w:t>
      </w:r>
      <w:r>
        <w:rPr/>
        <w:t>avec</w:t>
      </w:r>
      <w:r>
        <w:rPr>
          <w:spacing w:val="-1"/>
        </w:rPr>
        <w:t> </w:t>
      </w:r>
      <w:r>
        <w:rPr/>
        <w:t>le</w:t>
      </w:r>
      <w:r>
        <w:rPr>
          <w:spacing w:val="-1"/>
        </w:rPr>
        <w:t> </w:t>
      </w:r>
      <w:r>
        <w:rPr/>
        <w:t>MCC,</w:t>
      </w:r>
      <w:r>
        <w:rPr>
          <w:spacing w:val="-2"/>
        </w:rPr>
        <w:t> </w:t>
      </w:r>
      <w:r>
        <w:rPr/>
        <w:t>la</w:t>
      </w:r>
      <w:r>
        <w:rPr>
          <w:spacing w:val="-1"/>
        </w:rPr>
        <w:t> </w:t>
      </w:r>
      <w:r>
        <w:rPr/>
        <w:t>Côte</w:t>
      </w:r>
      <w:r>
        <w:rPr>
          <w:spacing w:val="-1"/>
        </w:rPr>
        <w:t> </w:t>
      </w:r>
      <w:r>
        <w:rPr/>
        <w:t>d’Ivoire a élaboré</w:t>
      </w:r>
      <w:r>
        <w:rPr>
          <w:spacing w:val="-14"/>
        </w:rPr>
        <w:t> </w:t>
      </w:r>
      <w:r>
        <w:rPr/>
        <w:t>un</w:t>
      </w:r>
      <w:r>
        <w:rPr>
          <w:spacing w:val="-14"/>
        </w:rPr>
        <w:t> </w:t>
      </w:r>
      <w:r>
        <w:rPr/>
        <w:t>programme</w:t>
      </w:r>
      <w:r>
        <w:rPr>
          <w:spacing w:val="-13"/>
        </w:rPr>
        <w:t> </w:t>
      </w:r>
      <w:r>
        <w:rPr/>
        <w:t>d’investissement</w:t>
      </w:r>
      <w:r>
        <w:rPr>
          <w:spacing w:val="-14"/>
        </w:rPr>
        <w:t> </w:t>
      </w:r>
      <w:r>
        <w:rPr/>
        <w:t>(le</w:t>
      </w:r>
      <w:r>
        <w:rPr>
          <w:spacing w:val="-13"/>
        </w:rPr>
        <w:t> </w:t>
      </w:r>
      <w:r>
        <w:rPr/>
        <w:t>Compact</w:t>
      </w:r>
      <w:r>
        <w:rPr>
          <w:spacing w:val="-14"/>
        </w:rPr>
        <w:t> </w:t>
      </w:r>
      <w:r>
        <w:rPr/>
        <w:t>Régional)</w:t>
      </w:r>
      <w:r>
        <w:rPr>
          <w:spacing w:val="-13"/>
        </w:rPr>
        <w:t> </w:t>
      </w:r>
      <w:r>
        <w:rPr/>
        <w:t>pour</w:t>
      </w:r>
      <w:r>
        <w:rPr>
          <w:spacing w:val="-14"/>
        </w:rPr>
        <w:t> </w:t>
      </w:r>
      <w:r>
        <w:rPr/>
        <w:t>augmenter</w:t>
      </w:r>
      <w:r>
        <w:rPr>
          <w:spacing w:val="-14"/>
        </w:rPr>
        <w:t> </w:t>
      </w:r>
      <w:r>
        <w:rPr/>
        <w:t>la</w:t>
      </w:r>
      <w:r>
        <w:rPr>
          <w:spacing w:val="-13"/>
        </w:rPr>
        <w:t> </w:t>
      </w:r>
      <w:r>
        <w:rPr/>
        <w:t>quantité</w:t>
      </w:r>
      <w:r>
        <w:rPr>
          <w:spacing w:val="-14"/>
        </w:rPr>
        <w:t> </w:t>
      </w:r>
      <w:r>
        <w:rPr/>
        <w:t>nette d'électricité</w:t>
      </w:r>
      <w:r>
        <w:rPr>
          <w:spacing w:val="-8"/>
        </w:rPr>
        <w:t> </w:t>
      </w:r>
      <w:r>
        <w:rPr/>
        <w:t>commercialisée</w:t>
      </w:r>
      <w:r>
        <w:rPr>
          <w:spacing w:val="-9"/>
        </w:rPr>
        <w:t> </w:t>
      </w:r>
      <w:r>
        <w:rPr/>
        <w:t>par</w:t>
      </w:r>
      <w:r>
        <w:rPr>
          <w:spacing w:val="-8"/>
        </w:rPr>
        <w:t> </w:t>
      </w:r>
      <w:r>
        <w:rPr/>
        <w:t>la</w:t>
      </w:r>
      <w:r>
        <w:rPr>
          <w:spacing w:val="-9"/>
        </w:rPr>
        <w:t> </w:t>
      </w:r>
      <w:r>
        <w:rPr/>
        <w:t>Côte</w:t>
      </w:r>
      <w:r>
        <w:rPr>
          <w:spacing w:val="-9"/>
        </w:rPr>
        <w:t> </w:t>
      </w:r>
      <w:r>
        <w:rPr/>
        <w:t>d'Ivoire</w:t>
      </w:r>
      <w:r>
        <w:rPr>
          <w:spacing w:val="-7"/>
        </w:rPr>
        <w:t> </w:t>
      </w:r>
      <w:r>
        <w:rPr/>
        <w:t>sur</w:t>
      </w:r>
      <w:r>
        <w:rPr>
          <w:spacing w:val="-8"/>
        </w:rPr>
        <w:t> </w:t>
      </w:r>
      <w:r>
        <w:rPr/>
        <w:t>le</w:t>
      </w:r>
      <w:r>
        <w:rPr>
          <w:spacing w:val="-8"/>
        </w:rPr>
        <w:t> </w:t>
      </w:r>
      <w:r>
        <w:rPr/>
        <w:t>marché</w:t>
      </w:r>
      <w:r>
        <w:rPr>
          <w:spacing w:val="-9"/>
        </w:rPr>
        <w:t> </w:t>
      </w:r>
      <w:r>
        <w:rPr/>
        <w:t>régional.</w:t>
      </w:r>
      <w:r>
        <w:rPr>
          <w:spacing w:val="-8"/>
        </w:rPr>
        <w:t> </w:t>
      </w:r>
      <w:r>
        <w:rPr/>
        <w:t>Le</w:t>
      </w:r>
      <w:r>
        <w:rPr>
          <w:spacing w:val="-9"/>
        </w:rPr>
        <w:t> </w:t>
      </w:r>
      <w:r>
        <w:rPr/>
        <w:t>16</w:t>
      </w:r>
      <w:r>
        <w:rPr>
          <w:spacing w:val="-8"/>
        </w:rPr>
        <w:t> </w:t>
      </w:r>
      <w:r>
        <w:rPr/>
        <w:t>septembre</w:t>
      </w:r>
      <w:r>
        <w:rPr>
          <w:spacing w:val="-8"/>
        </w:rPr>
        <w:t> </w:t>
      </w:r>
      <w:r>
        <w:rPr/>
        <w:t>2025,</w:t>
      </w:r>
      <w:r>
        <w:rPr>
          <w:spacing w:val="-8"/>
        </w:rPr>
        <w:t> </w:t>
      </w:r>
      <w:r>
        <w:rPr/>
        <w:t>le </w:t>
      </w:r>
      <w:r>
        <w:rPr>
          <w:spacing w:val="-2"/>
        </w:rPr>
        <w:t>Gouvernement</w:t>
      </w:r>
      <w:r>
        <w:rPr>
          <w:spacing w:val="-11"/>
        </w:rPr>
        <w:t> </w:t>
      </w:r>
      <w:r>
        <w:rPr>
          <w:spacing w:val="-2"/>
        </w:rPr>
        <w:t>des</w:t>
      </w:r>
      <w:r>
        <w:rPr>
          <w:spacing w:val="-12"/>
        </w:rPr>
        <w:t> </w:t>
      </w:r>
      <w:r>
        <w:rPr>
          <w:spacing w:val="-2"/>
        </w:rPr>
        <w:t>États</w:t>
      </w:r>
      <w:r>
        <w:rPr>
          <w:spacing w:val="-9"/>
        </w:rPr>
        <w:t> </w:t>
      </w:r>
      <w:r>
        <w:rPr>
          <w:spacing w:val="-2"/>
        </w:rPr>
        <w:t>-Unis</w:t>
      </w:r>
      <w:r>
        <w:rPr>
          <w:spacing w:val="-10"/>
        </w:rPr>
        <w:t> </w:t>
      </w:r>
      <w:r>
        <w:rPr>
          <w:spacing w:val="-2"/>
        </w:rPr>
        <w:t>d’Amérique</w:t>
      </w:r>
      <w:r>
        <w:rPr>
          <w:spacing w:val="-10"/>
        </w:rPr>
        <w:t> </w:t>
      </w:r>
      <w:r>
        <w:rPr>
          <w:spacing w:val="-2"/>
        </w:rPr>
        <w:t>a</w:t>
      </w:r>
      <w:r>
        <w:rPr>
          <w:spacing w:val="-10"/>
        </w:rPr>
        <w:t> </w:t>
      </w:r>
      <w:r>
        <w:rPr>
          <w:spacing w:val="-2"/>
        </w:rPr>
        <w:t>signé</w:t>
      </w:r>
      <w:r>
        <w:rPr>
          <w:spacing w:val="-10"/>
        </w:rPr>
        <w:t> </w:t>
      </w:r>
      <w:r>
        <w:rPr>
          <w:spacing w:val="-2"/>
        </w:rPr>
        <w:t>avec</w:t>
      </w:r>
      <w:r>
        <w:rPr>
          <w:spacing w:val="-10"/>
        </w:rPr>
        <w:t> </w:t>
      </w:r>
      <w:r>
        <w:rPr>
          <w:spacing w:val="-2"/>
        </w:rPr>
        <w:t>le</w:t>
      </w:r>
      <w:r>
        <w:rPr>
          <w:spacing w:val="-10"/>
        </w:rPr>
        <w:t> </w:t>
      </w:r>
      <w:r>
        <w:rPr>
          <w:spacing w:val="-2"/>
        </w:rPr>
        <w:t>Gouvernement</w:t>
      </w:r>
      <w:r>
        <w:rPr>
          <w:spacing w:val="-10"/>
        </w:rPr>
        <w:t> </w:t>
      </w:r>
      <w:r>
        <w:rPr>
          <w:spacing w:val="-2"/>
        </w:rPr>
        <w:t>de</w:t>
      </w:r>
      <w:r>
        <w:rPr>
          <w:spacing w:val="-11"/>
        </w:rPr>
        <w:t> </w:t>
      </w:r>
      <w:r>
        <w:rPr>
          <w:spacing w:val="-2"/>
        </w:rPr>
        <w:t>Côte</w:t>
      </w:r>
      <w:r>
        <w:rPr>
          <w:spacing w:val="-11"/>
        </w:rPr>
        <w:t> </w:t>
      </w:r>
      <w:r>
        <w:rPr>
          <w:spacing w:val="-2"/>
        </w:rPr>
        <w:t>d’Ivoire</w:t>
      </w:r>
      <w:hyperlink r:id="rId8">
        <w:r>
          <w:rPr>
            <w:color w:val="0000FF"/>
            <w:spacing w:val="-9"/>
            <w:u w:val="single" w:color="0000FF"/>
          </w:rPr>
          <w:t> </w:t>
        </w:r>
        <w:r>
          <w:rPr>
            <w:color w:val="0000FF"/>
            <w:spacing w:val="-2"/>
            <w:u w:val="single" w:color="0000FF"/>
          </w:rPr>
          <w:t>l’Accord</w:t>
        </w:r>
      </w:hyperlink>
      <w:r>
        <w:rPr>
          <w:color w:val="0000FF"/>
          <w:spacing w:val="-2"/>
        </w:rPr>
        <w:t> </w:t>
      </w:r>
      <w:hyperlink r:id="rId8">
        <w:r>
          <w:rPr>
            <w:color w:val="0000FF"/>
            <w:spacing w:val="-2"/>
            <w:u w:val="single" w:color="0000FF"/>
          </w:rPr>
          <w:t>de</w:t>
        </w:r>
        <w:r>
          <w:rPr>
            <w:color w:val="0000FF"/>
            <w:spacing w:val="-7"/>
            <w:u w:val="single" w:color="0000FF"/>
          </w:rPr>
          <w:t> </w:t>
        </w:r>
        <w:r>
          <w:rPr>
            <w:color w:val="0000FF"/>
            <w:spacing w:val="-2"/>
            <w:u w:val="single" w:color="0000FF"/>
          </w:rPr>
          <w:t>Don</w:t>
        </w:r>
        <w:r>
          <w:rPr>
            <w:color w:val="0000FF"/>
            <w:spacing w:val="-8"/>
            <w:u w:val="single" w:color="0000FF"/>
          </w:rPr>
          <w:t> </w:t>
        </w:r>
        <w:r>
          <w:rPr>
            <w:color w:val="0000FF"/>
            <w:spacing w:val="-2"/>
            <w:u w:val="single" w:color="0000FF"/>
          </w:rPr>
          <w:t>(Compact</w:t>
        </w:r>
        <w:r>
          <w:rPr>
            <w:color w:val="0000FF"/>
            <w:spacing w:val="-8"/>
            <w:u w:val="single" w:color="0000FF"/>
          </w:rPr>
          <w:t> </w:t>
        </w:r>
        <w:r>
          <w:rPr>
            <w:color w:val="0000FF"/>
            <w:spacing w:val="-2"/>
            <w:u w:val="single" w:color="0000FF"/>
          </w:rPr>
          <w:t>Régional)</w:t>
        </w:r>
      </w:hyperlink>
      <w:r>
        <w:rPr>
          <w:color w:val="0000FF"/>
          <w:spacing w:val="-8"/>
        </w:rPr>
        <w:t> </w:t>
      </w:r>
      <w:r>
        <w:rPr>
          <w:spacing w:val="-2"/>
        </w:rPr>
        <w:t>d’un</w:t>
      </w:r>
      <w:r>
        <w:rPr>
          <w:spacing w:val="-8"/>
        </w:rPr>
        <w:t> </w:t>
      </w:r>
      <w:r>
        <w:rPr>
          <w:spacing w:val="-2"/>
        </w:rPr>
        <w:t>montant</w:t>
      </w:r>
      <w:r>
        <w:rPr>
          <w:spacing w:val="-8"/>
        </w:rPr>
        <w:t> </w:t>
      </w:r>
      <w:r>
        <w:rPr>
          <w:spacing w:val="-2"/>
        </w:rPr>
        <w:t>de</w:t>
      </w:r>
      <w:r>
        <w:rPr>
          <w:spacing w:val="-6"/>
        </w:rPr>
        <w:t> </w:t>
      </w:r>
      <w:r>
        <w:rPr>
          <w:spacing w:val="-2"/>
        </w:rPr>
        <w:t>322</w:t>
      </w:r>
      <w:r>
        <w:rPr>
          <w:spacing w:val="-7"/>
        </w:rPr>
        <w:t> </w:t>
      </w:r>
      <w:r>
        <w:rPr>
          <w:spacing w:val="-2"/>
        </w:rPr>
        <w:t>500</w:t>
      </w:r>
      <w:r>
        <w:rPr>
          <w:spacing w:val="-7"/>
        </w:rPr>
        <w:t> </w:t>
      </w:r>
      <w:r>
        <w:rPr>
          <w:spacing w:val="-2"/>
        </w:rPr>
        <w:t>000</w:t>
      </w:r>
      <w:r>
        <w:rPr>
          <w:spacing w:val="-7"/>
        </w:rPr>
        <w:t> </w:t>
      </w:r>
      <w:r>
        <w:rPr>
          <w:spacing w:val="-2"/>
        </w:rPr>
        <w:t>dollars</w:t>
      </w:r>
      <w:r>
        <w:rPr>
          <w:spacing w:val="-8"/>
        </w:rPr>
        <w:t> </w:t>
      </w:r>
      <w:r>
        <w:rPr>
          <w:spacing w:val="-2"/>
        </w:rPr>
        <w:t>américains.</w:t>
      </w:r>
      <w:r>
        <w:rPr>
          <w:spacing w:val="-7"/>
        </w:rPr>
        <w:t> </w:t>
      </w:r>
      <w:r>
        <w:rPr>
          <w:spacing w:val="-2"/>
        </w:rPr>
        <w:t>Le</w:t>
      </w:r>
      <w:r>
        <w:rPr>
          <w:spacing w:val="-7"/>
        </w:rPr>
        <w:t> </w:t>
      </w:r>
      <w:r>
        <w:rPr>
          <w:spacing w:val="-2"/>
        </w:rPr>
        <w:t>Compact</w:t>
      </w:r>
      <w:r>
        <w:rPr>
          <w:spacing w:val="-8"/>
        </w:rPr>
        <w:t> </w:t>
      </w:r>
      <w:r>
        <w:rPr>
          <w:spacing w:val="-2"/>
        </w:rPr>
        <w:t>Régional </w:t>
      </w:r>
      <w:r>
        <w:rPr/>
        <w:t>de</w:t>
      </w:r>
      <w:r>
        <w:rPr>
          <w:spacing w:val="-4"/>
        </w:rPr>
        <w:t> </w:t>
      </w:r>
      <w:r>
        <w:rPr/>
        <w:t>la</w:t>
      </w:r>
      <w:r>
        <w:rPr>
          <w:spacing w:val="-3"/>
        </w:rPr>
        <w:t> </w:t>
      </w:r>
      <w:r>
        <w:rPr/>
        <w:t>Côte</w:t>
      </w:r>
      <w:r>
        <w:rPr>
          <w:spacing w:val="-3"/>
        </w:rPr>
        <w:t> </w:t>
      </w:r>
      <w:r>
        <w:rPr/>
        <w:t>d’Ivoire</w:t>
      </w:r>
      <w:r>
        <w:rPr>
          <w:spacing w:val="-3"/>
        </w:rPr>
        <w:t> </w:t>
      </w:r>
      <w:r>
        <w:rPr/>
        <w:t>sera</w:t>
      </w:r>
      <w:r>
        <w:rPr>
          <w:spacing w:val="-2"/>
        </w:rPr>
        <w:t> </w:t>
      </w:r>
      <w:r>
        <w:rPr/>
        <w:t>mis</w:t>
      </w:r>
      <w:r>
        <w:rPr>
          <w:spacing w:val="-5"/>
        </w:rPr>
        <w:t> </w:t>
      </w:r>
      <w:r>
        <w:rPr/>
        <w:t>en</w:t>
      </w:r>
      <w:r>
        <w:rPr>
          <w:spacing w:val="-5"/>
        </w:rPr>
        <w:t> </w:t>
      </w:r>
      <w:r>
        <w:rPr/>
        <w:t>œuvre</w:t>
      </w:r>
      <w:r>
        <w:rPr>
          <w:spacing w:val="-4"/>
        </w:rPr>
        <w:t> </w:t>
      </w:r>
      <w:r>
        <w:rPr/>
        <w:t>sur</w:t>
      </w:r>
      <w:r>
        <w:rPr>
          <w:spacing w:val="-3"/>
        </w:rPr>
        <w:t> </w:t>
      </w:r>
      <w:r>
        <w:rPr/>
        <w:t>une</w:t>
      </w:r>
      <w:r>
        <w:rPr>
          <w:spacing w:val="-3"/>
        </w:rPr>
        <w:t> </w:t>
      </w:r>
      <w:r>
        <w:rPr/>
        <w:t>période</w:t>
      </w:r>
      <w:r>
        <w:rPr>
          <w:spacing w:val="-4"/>
        </w:rPr>
        <w:t> </w:t>
      </w:r>
      <w:r>
        <w:rPr/>
        <w:t>de</w:t>
      </w:r>
      <w:r>
        <w:rPr>
          <w:spacing w:val="-3"/>
        </w:rPr>
        <w:t> </w:t>
      </w:r>
      <w:r>
        <w:rPr/>
        <w:t>cinq</w:t>
      </w:r>
      <w:r>
        <w:rPr>
          <w:spacing w:val="-5"/>
        </w:rPr>
        <w:t> </w:t>
      </w:r>
      <w:r>
        <w:rPr/>
        <w:t>(05)</w:t>
      </w:r>
      <w:r>
        <w:rPr>
          <w:spacing w:val="-3"/>
        </w:rPr>
        <w:t> </w:t>
      </w:r>
      <w:r>
        <w:rPr/>
        <w:t>ans</w:t>
      </w:r>
      <w:r>
        <w:rPr>
          <w:spacing w:val="-5"/>
        </w:rPr>
        <w:t> </w:t>
      </w:r>
      <w:r>
        <w:rPr/>
        <w:t>(2026-2031).</w:t>
      </w:r>
    </w:p>
    <w:p>
      <w:pPr>
        <w:pStyle w:val="BodyText"/>
        <w:spacing w:line="259" w:lineRule="auto" w:before="198"/>
        <w:ind w:left="1079" w:right="1075"/>
        <w:jc w:val="both"/>
      </w:pPr>
      <w:r>
        <w:rPr/>
        <w:t>Pour gérer la mise en œuvre du Compact Régional, il est créé auprès de la Présidence de la République</w:t>
      </w:r>
      <w:r>
        <w:rPr>
          <w:spacing w:val="-8"/>
        </w:rPr>
        <w:t> </w:t>
      </w:r>
      <w:r>
        <w:rPr/>
        <w:t>de</w:t>
      </w:r>
      <w:r>
        <w:rPr>
          <w:spacing w:val="-11"/>
        </w:rPr>
        <w:t> </w:t>
      </w:r>
      <w:r>
        <w:rPr/>
        <w:t>Côte</w:t>
      </w:r>
      <w:r>
        <w:rPr>
          <w:spacing w:val="-10"/>
        </w:rPr>
        <w:t> </w:t>
      </w:r>
      <w:r>
        <w:rPr/>
        <w:t>d’Ivoire,</w:t>
      </w:r>
      <w:r>
        <w:rPr>
          <w:spacing w:val="-11"/>
        </w:rPr>
        <w:t> </w:t>
      </w:r>
      <w:r>
        <w:rPr/>
        <w:t>une</w:t>
      </w:r>
      <w:r>
        <w:rPr>
          <w:spacing w:val="-10"/>
        </w:rPr>
        <w:t> </w:t>
      </w:r>
      <w:r>
        <w:rPr/>
        <w:t>entité</w:t>
      </w:r>
      <w:r>
        <w:rPr>
          <w:spacing w:val="-10"/>
        </w:rPr>
        <w:t> </w:t>
      </w:r>
      <w:r>
        <w:rPr/>
        <w:t>de</w:t>
      </w:r>
      <w:r>
        <w:rPr>
          <w:spacing w:val="-11"/>
        </w:rPr>
        <w:t> </w:t>
      </w:r>
      <w:r>
        <w:rPr/>
        <w:t>type</w:t>
      </w:r>
      <w:r>
        <w:rPr>
          <w:spacing w:val="-10"/>
        </w:rPr>
        <w:t> </w:t>
      </w:r>
      <w:r>
        <w:rPr/>
        <w:t>particulier</w:t>
      </w:r>
      <w:r>
        <w:rPr>
          <w:spacing w:val="-10"/>
        </w:rPr>
        <w:t> </w:t>
      </w:r>
      <w:r>
        <w:rPr/>
        <w:t>dotée</w:t>
      </w:r>
      <w:r>
        <w:rPr>
          <w:spacing w:val="-11"/>
        </w:rPr>
        <w:t> </w:t>
      </w:r>
      <w:r>
        <w:rPr/>
        <w:t>de</w:t>
      </w:r>
      <w:r>
        <w:rPr>
          <w:spacing w:val="-11"/>
        </w:rPr>
        <w:t> </w:t>
      </w:r>
      <w:r>
        <w:rPr/>
        <w:t>la</w:t>
      </w:r>
      <w:r>
        <w:rPr>
          <w:spacing w:val="-10"/>
        </w:rPr>
        <w:t> </w:t>
      </w:r>
      <w:r>
        <w:rPr/>
        <w:t>personnalité</w:t>
      </w:r>
      <w:r>
        <w:rPr>
          <w:spacing w:val="-11"/>
        </w:rPr>
        <w:t> </w:t>
      </w:r>
      <w:r>
        <w:rPr/>
        <w:t>juridique,</w:t>
      </w:r>
      <w:r>
        <w:rPr>
          <w:spacing w:val="-10"/>
        </w:rPr>
        <w:t> </w:t>
      </w:r>
      <w:r>
        <w:rPr/>
        <w:t>qui jouit de l’indépendance de gestion et de l’autonomie financière dénommée « Millennium Challenge</w:t>
      </w:r>
      <w:r>
        <w:rPr>
          <w:spacing w:val="-13"/>
        </w:rPr>
        <w:t> </w:t>
      </w:r>
      <w:r>
        <w:rPr/>
        <w:t>Account-Côte</w:t>
      </w:r>
      <w:r>
        <w:rPr>
          <w:spacing w:val="-12"/>
        </w:rPr>
        <w:t> </w:t>
      </w:r>
      <w:r>
        <w:rPr/>
        <w:t>d’Ivoire</w:t>
      </w:r>
      <w:r>
        <w:rPr>
          <w:spacing w:val="-13"/>
        </w:rPr>
        <w:t> </w:t>
      </w:r>
      <w:r>
        <w:rPr/>
        <w:t>Régional</w:t>
      </w:r>
      <w:r>
        <w:rPr>
          <w:spacing w:val="-12"/>
        </w:rPr>
        <w:t> </w:t>
      </w:r>
      <w:r>
        <w:rPr/>
        <w:t>»,</w:t>
      </w:r>
      <w:r>
        <w:rPr>
          <w:spacing w:val="-14"/>
        </w:rPr>
        <w:t> </w:t>
      </w:r>
      <w:r>
        <w:rPr/>
        <w:t>en</w:t>
      </w:r>
      <w:r>
        <w:rPr>
          <w:spacing w:val="-13"/>
        </w:rPr>
        <w:t> </w:t>
      </w:r>
      <w:r>
        <w:rPr/>
        <w:t>abrégé</w:t>
      </w:r>
      <w:r>
        <w:rPr>
          <w:spacing w:val="-12"/>
        </w:rPr>
        <w:t> </w:t>
      </w:r>
      <w:r>
        <w:rPr/>
        <w:t>«</w:t>
      </w:r>
      <w:r>
        <w:rPr>
          <w:spacing w:val="-14"/>
        </w:rPr>
        <w:t> </w:t>
      </w:r>
      <w:r>
        <w:rPr/>
        <w:t>MCA-Côte</w:t>
      </w:r>
      <w:r>
        <w:rPr>
          <w:spacing w:val="-13"/>
        </w:rPr>
        <w:t> </w:t>
      </w:r>
      <w:r>
        <w:rPr/>
        <w:t>d’Ivoire</w:t>
      </w:r>
      <w:r>
        <w:rPr>
          <w:spacing w:val="-13"/>
        </w:rPr>
        <w:t> </w:t>
      </w:r>
      <w:r>
        <w:rPr/>
        <w:t>Régional</w:t>
      </w:r>
      <w:r>
        <w:rPr>
          <w:spacing w:val="-12"/>
        </w:rPr>
        <w:t> </w:t>
      </w:r>
      <w:r>
        <w:rPr/>
        <w:t>»</w:t>
      </w:r>
      <w:r>
        <w:rPr>
          <w:spacing w:val="-14"/>
        </w:rPr>
        <w:t> </w:t>
      </w:r>
      <w:r>
        <w:rPr/>
        <w:t>ou</w:t>
      </w:r>
      <w:r>
        <w:rPr>
          <w:spacing w:val="-13"/>
        </w:rPr>
        <w:t> </w:t>
      </w:r>
      <w:r>
        <w:rPr/>
        <w:t>MCA-CI Régional.</w:t>
      </w:r>
      <w:r>
        <w:rPr>
          <w:spacing w:val="-14"/>
        </w:rPr>
        <w:t> </w:t>
      </w:r>
      <w:r>
        <w:rPr/>
        <w:t>Le</w:t>
      </w:r>
      <w:r>
        <w:rPr>
          <w:spacing w:val="-14"/>
        </w:rPr>
        <w:t> </w:t>
      </w:r>
      <w:r>
        <w:rPr/>
        <w:t>MCA-Côte</w:t>
      </w:r>
      <w:r>
        <w:rPr>
          <w:spacing w:val="-13"/>
        </w:rPr>
        <w:t> </w:t>
      </w:r>
      <w:r>
        <w:rPr/>
        <w:t>d’Ivoire</w:t>
      </w:r>
      <w:r>
        <w:rPr>
          <w:spacing w:val="-14"/>
        </w:rPr>
        <w:t> </w:t>
      </w:r>
      <w:r>
        <w:rPr/>
        <w:t>Régional</w:t>
      </w:r>
      <w:r>
        <w:rPr>
          <w:spacing w:val="-13"/>
        </w:rPr>
        <w:t> </w:t>
      </w:r>
      <w:r>
        <w:rPr/>
        <w:t>a</w:t>
      </w:r>
      <w:r>
        <w:rPr>
          <w:spacing w:val="-14"/>
        </w:rPr>
        <w:t> </w:t>
      </w:r>
      <w:r>
        <w:rPr/>
        <w:t>pour</w:t>
      </w:r>
      <w:r>
        <w:rPr>
          <w:spacing w:val="-13"/>
        </w:rPr>
        <w:t> </w:t>
      </w:r>
      <w:r>
        <w:rPr/>
        <w:t>mission</w:t>
      </w:r>
      <w:r>
        <w:rPr>
          <w:spacing w:val="-14"/>
        </w:rPr>
        <w:t> </w:t>
      </w:r>
      <w:r>
        <w:rPr/>
        <w:t>de</w:t>
      </w:r>
      <w:r>
        <w:rPr>
          <w:spacing w:val="-14"/>
        </w:rPr>
        <w:t> </w:t>
      </w:r>
      <w:r>
        <w:rPr/>
        <w:t>mettre</w:t>
      </w:r>
      <w:r>
        <w:rPr>
          <w:spacing w:val="-13"/>
        </w:rPr>
        <w:t> </w:t>
      </w:r>
      <w:r>
        <w:rPr/>
        <w:t>en</w:t>
      </w:r>
      <w:r>
        <w:rPr>
          <w:spacing w:val="-14"/>
        </w:rPr>
        <w:t> </w:t>
      </w:r>
      <w:r>
        <w:rPr/>
        <w:t>œuvre</w:t>
      </w:r>
      <w:r>
        <w:rPr>
          <w:spacing w:val="-13"/>
        </w:rPr>
        <w:t> </w:t>
      </w:r>
      <w:r>
        <w:rPr/>
        <w:t>le</w:t>
      </w:r>
      <w:r>
        <w:rPr>
          <w:spacing w:val="-14"/>
        </w:rPr>
        <w:t> </w:t>
      </w:r>
      <w:r>
        <w:rPr/>
        <w:t>Compact</w:t>
      </w:r>
      <w:r>
        <w:rPr>
          <w:spacing w:val="-13"/>
        </w:rPr>
        <w:t> </w:t>
      </w:r>
      <w:r>
        <w:rPr/>
        <w:t>Régional.</w:t>
      </w:r>
    </w:p>
    <w:p>
      <w:pPr>
        <w:pStyle w:val="BodyText"/>
        <w:spacing w:line="259" w:lineRule="auto" w:before="159"/>
        <w:ind w:left="1079" w:right="1073"/>
        <w:jc w:val="both"/>
      </w:pPr>
      <w:r>
        <w:rPr/>
        <w:t>Le</w:t>
      </w:r>
      <w:r>
        <w:rPr>
          <w:spacing w:val="-13"/>
        </w:rPr>
        <w:t> </w:t>
      </w:r>
      <w:r>
        <w:rPr/>
        <w:t>MCA-Côte</w:t>
      </w:r>
      <w:r>
        <w:rPr>
          <w:spacing w:val="-13"/>
        </w:rPr>
        <w:t> </w:t>
      </w:r>
      <w:r>
        <w:rPr/>
        <w:t>d’Ivoire</w:t>
      </w:r>
      <w:r>
        <w:rPr>
          <w:spacing w:val="-13"/>
        </w:rPr>
        <w:t> </w:t>
      </w:r>
      <w:r>
        <w:rPr/>
        <w:t>Régional,</w:t>
      </w:r>
      <w:r>
        <w:rPr>
          <w:spacing w:val="-12"/>
        </w:rPr>
        <w:t> </w:t>
      </w:r>
      <w:r>
        <w:rPr/>
        <w:t>invite</w:t>
      </w:r>
      <w:r>
        <w:rPr>
          <w:spacing w:val="-12"/>
        </w:rPr>
        <w:t> </w:t>
      </w:r>
      <w:r>
        <w:rPr/>
        <w:t>par</w:t>
      </w:r>
      <w:r>
        <w:rPr>
          <w:spacing w:val="-13"/>
        </w:rPr>
        <w:t> </w:t>
      </w:r>
      <w:r>
        <w:rPr/>
        <w:t>la</w:t>
      </w:r>
      <w:r>
        <w:rPr>
          <w:spacing w:val="-12"/>
        </w:rPr>
        <w:t> </w:t>
      </w:r>
      <w:r>
        <w:rPr/>
        <w:t>présente,</w:t>
      </w:r>
      <w:r>
        <w:rPr>
          <w:spacing w:val="-13"/>
        </w:rPr>
        <w:t> </w:t>
      </w:r>
      <w:r>
        <w:rPr/>
        <w:t>les</w:t>
      </w:r>
      <w:r>
        <w:rPr>
          <w:spacing w:val="-13"/>
        </w:rPr>
        <w:t> </w:t>
      </w:r>
      <w:r>
        <w:rPr/>
        <w:t>offrants</w:t>
      </w:r>
      <w:r>
        <w:rPr>
          <w:spacing w:val="-13"/>
        </w:rPr>
        <w:t> </w:t>
      </w:r>
      <w:r>
        <w:rPr/>
        <w:t>dûment</w:t>
      </w:r>
      <w:r>
        <w:rPr>
          <w:spacing w:val="-12"/>
        </w:rPr>
        <w:t> </w:t>
      </w:r>
      <w:r>
        <w:rPr/>
        <w:t>constitués</w:t>
      </w:r>
      <w:r>
        <w:rPr>
          <w:spacing w:val="-13"/>
        </w:rPr>
        <w:t> </w:t>
      </w:r>
      <w:r>
        <w:rPr/>
        <w:t>à</w:t>
      </w:r>
      <w:r>
        <w:rPr>
          <w:spacing w:val="-12"/>
        </w:rPr>
        <w:t> </w:t>
      </w:r>
      <w:r>
        <w:rPr/>
        <w:t>soumettre une</w:t>
      </w:r>
      <w:r>
        <w:rPr>
          <w:spacing w:val="-14"/>
        </w:rPr>
        <w:t> </w:t>
      </w:r>
      <w:r>
        <w:rPr/>
        <w:t>offre</w:t>
      </w:r>
      <w:r>
        <w:rPr>
          <w:spacing w:val="-12"/>
        </w:rPr>
        <w:t> </w:t>
      </w:r>
      <w:r>
        <w:rPr/>
        <w:t>pour</w:t>
      </w:r>
      <w:r>
        <w:rPr>
          <w:spacing w:val="-14"/>
        </w:rPr>
        <w:t> </w:t>
      </w:r>
      <w:r>
        <w:rPr/>
        <w:t>la</w:t>
      </w:r>
      <w:r>
        <w:rPr>
          <w:spacing w:val="-13"/>
        </w:rPr>
        <w:t> </w:t>
      </w:r>
      <w:r>
        <w:rPr/>
        <w:t>fourniture</w:t>
      </w:r>
      <w:r>
        <w:rPr>
          <w:spacing w:val="-13"/>
        </w:rPr>
        <w:t> </w:t>
      </w:r>
      <w:r>
        <w:rPr/>
        <w:t>des</w:t>
      </w:r>
      <w:r>
        <w:rPr>
          <w:spacing w:val="-13"/>
        </w:rPr>
        <w:t> </w:t>
      </w:r>
      <w:r>
        <w:rPr/>
        <w:t>services</w:t>
      </w:r>
      <w:r>
        <w:rPr>
          <w:spacing w:val="-14"/>
        </w:rPr>
        <w:t> </w:t>
      </w:r>
      <w:r>
        <w:rPr/>
        <w:t>susmentionnés</w:t>
      </w:r>
      <w:r>
        <w:rPr>
          <w:spacing w:val="-14"/>
        </w:rPr>
        <w:t> </w:t>
      </w:r>
      <w:r>
        <w:rPr/>
        <w:t>(«</w:t>
      </w:r>
      <w:r>
        <w:rPr>
          <w:spacing w:val="-12"/>
        </w:rPr>
        <w:t> </w:t>
      </w:r>
      <w:r>
        <w:rPr/>
        <w:t>Offres</w:t>
      </w:r>
      <w:r>
        <w:rPr>
          <w:spacing w:val="-13"/>
        </w:rPr>
        <w:t> </w:t>
      </w:r>
      <w:r>
        <w:rPr/>
        <w:t>»).</w:t>
      </w:r>
      <w:r>
        <w:rPr>
          <w:spacing w:val="-13"/>
        </w:rPr>
        <w:t> </w:t>
      </w:r>
      <w:r>
        <w:rPr/>
        <w:t>De</w:t>
      </w:r>
      <w:r>
        <w:rPr>
          <w:spacing w:val="-13"/>
        </w:rPr>
        <w:t> </w:t>
      </w:r>
      <w:r>
        <w:rPr/>
        <w:t>plus</w:t>
      </w:r>
      <w:r>
        <w:rPr>
          <w:spacing w:val="-14"/>
        </w:rPr>
        <w:t> </w:t>
      </w:r>
      <w:r>
        <w:rPr/>
        <w:t>amples</w:t>
      </w:r>
      <w:r>
        <w:rPr>
          <w:spacing w:val="-13"/>
        </w:rPr>
        <w:t> </w:t>
      </w:r>
      <w:r>
        <w:rPr/>
        <w:t>informations sur ces services de Consultants sont fournies dans les Termes de Référence à la Section V de la Demande d’Offres.</w:t>
      </w:r>
    </w:p>
    <w:p>
      <w:pPr>
        <w:pStyle w:val="BodyText"/>
        <w:spacing w:line="259" w:lineRule="auto" w:before="159"/>
        <w:ind w:left="1079" w:right="1074"/>
        <w:jc w:val="both"/>
      </w:pPr>
      <w:r>
        <w:rPr/>
        <w:t>Un Offrant sera sélectionné en vertu de la méthode de Sélection Basée sur la Qualité et le Coût (SBQC), la procédure d’évaluation dont les étapes sont décrites dans les sections de la présente</w:t>
      </w:r>
    </w:p>
    <w:p>
      <w:pPr>
        <w:pStyle w:val="BodyText"/>
        <w:spacing w:after="0" w:line="259" w:lineRule="auto"/>
        <w:jc w:val="both"/>
        <w:sectPr>
          <w:headerReference w:type="default" r:id="rId5"/>
          <w:footerReference w:type="default" r:id="rId6"/>
          <w:type w:val="continuous"/>
          <w:pgSz w:w="12240" w:h="15840"/>
          <w:pgMar w:header="348" w:footer="627" w:top="720" w:bottom="820" w:left="360" w:right="360"/>
          <w:pgNumType w:start="1"/>
        </w:sectPr>
      </w:pPr>
    </w:p>
    <w:p>
      <w:pPr>
        <w:pStyle w:val="BodyText"/>
        <w:spacing w:before="238"/>
      </w:pPr>
    </w:p>
    <w:p>
      <w:pPr>
        <w:pStyle w:val="BodyText"/>
        <w:spacing w:line="259" w:lineRule="auto"/>
        <w:ind w:left="1080" w:right="1075"/>
        <w:jc w:val="both"/>
      </w:pPr>
      <w:r>
        <w:rPr/>
        <w:t>Demande d’Offres conformément à «la Politique et aux Directives relatives à la Passation des marchés</w:t>
      </w:r>
      <w:r>
        <w:rPr>
          <w:spacing w:val="-5"/>
        </w:rPr>
        <w:t> </w:t>
      </w:r>
      <w:r>
        <w:rPr/>
        <w:t>du</w:t>
      </w:r>
      <w:r>
        <w:rPr>
          <w:spacing w:val="-3"/>
        </w:rPr>
        <w:t> </w:t>
      </w:r>
      <w:r>
        <w:rPr/>
        <w:t>Programme</w:t>
      </w:r>
      <w:r>
        <w:rPr>
          <w:spacing w:val="-3"/>
        </w:rPr>
        <w:t> </w:t>
      </w:r>
      <w:r>
        <w:rPr/>
        <w:t>du</w:t>
      </w:r>
      <w:r>
        <w:rPr>
          <w:spacing w:val="-4"/>
        </w:rPr>
        <w:t> </w:t>
      </w:r>
      <w:r>
        <w:rPr/>
        <w:t>MCC</w:t>
      </w:r>
      <w:r>
        <w:rPr>
          <w:spacing w:val="-4"/>
        </w:rPr>
        <w:t> </w:t>
      </w:r>
      <w:r>
        <w:rPr/>
        <w:t>»</w:t>
      </w:r>
      <w:r>
        <w:rPr>
          <w:spacing w:val="-5"/>
        </w:rPr>
        <w:t> </w:t>
      </w:r>
      <w:r>
        <w:rPr/>
        <w:t>disponibles</w:t>
      </w:r>
      <w:r>
        <w:rPr>
          <w:spacing w:val="-3"/>
        </w:rPr>
        <w:t> </w:t>
      </w:r>
      <w:r>
        <w:rPr/>
        <w:t>sur</w:t>
      </w:r>
      <w:r>
        <w:rPr>
          <w:spacing w:val="-5"/>
        </w:rPr>
        <w:t> </w:t>
      </w:r>
      <w:r>
        <w:rPr/>
        <w:t>le</w:t>
      </w:r>
      <w:r>
        <w:rPr>
          <w:spacing w:val="-4"/>
        </w:rPr>
        <w:t> </w:t>
      </w:r>
      <w:r>
        <w:rPr/>
        <w:t>site</w:t>
      </w:r>
      <w:r>
        <w:rPr>
          <w:spacing w:val="-4"/>
        </w:rPr>
        <w:t> </w:t>
      </w:r>
      <w:r>
        <w:rPr/>
        <w:t>web</w:t>
      </w:r>
      <w:r>
        <w:rPr>
          <w:spacing w:val="-3"/>
        </w:rPr>
        <w:t> </w:t>
      </w:r>
      <w:r>
        <w:rPr/>
        <w:t>du</w:t>
      </w:r>
      <w:r>
        <w:rPr>
          <w:spacing w:val="-4"/>
        </w:rPr>
        <w:t> </w:t>
      </w:r>
      <w:r>
        <w:rPr/>
        <w:t>MCC</w:t>
      </w:r>
      <w:r>
        <w:rPr>
          <w:spacing w:val="-5"/>
        </w:rPr>
        <w:t> </w:t>
      </w:r>
      <w:hyperlink r:id="rId11">
        <w:r>
          <w:rPr/>
          <w:t>(</w:t>
        </w:r>
        <w:r>
          <w:rPr>
            <w:color w:val="0000FF"/>
            <w:u w:val="single" w:color="0000FF"/>
          </w:rPr>
          <w:t>www.mcc.gov/ppg</w:t>
        </w:r>
        <w:r>
          <w:rPr/>
          <w:t>)</w:t>
        </w:r>
      </w:hyperlink>
      <w:r>
        <w:rPr/>
        <w:t>.</w:t>
      </w:r>
    </w:p>
    <w:p>
      <w:pPr>
        <w:pStyle w:val="BodyText"/>
        <w:spacing w:line="259" w:lineRule="auto" w:before="159"/>
        <w:ind w:left="1080" w:right="1076"/>
        <w:jc w:val="both"/>
      </w:pPr>
      <w:r>
        <w:rPr/>
        <w:t>Le</w:t>
      </w:r>
      <w:r>
        <w:rPr>
          <w:spacing w:val="-13"/>
        </w:rPr>
        <w:t> </w:t>
      </w:r>
      <w:r>
        <w:rPr/>
        <w:t>processus</w:t>
      </w:r>
      <w:r>
        <w:rPr>
          <w:spacing w:val="-13"/>
        </w:rPr>
        <w:t> </w:t>
      </w:r>
      <w:r>
        <w:rPr/>
        <w:t>de</w:t>
      </w:r>
      <w:r>
        <w:rPr>
          <w:spacing w:val="-13"/>
        </w:rPr>
        <w:t> </w:t>
      </w:r>
      <w:r>
        <w:rPr/>
        <w:t>sélection,</w:t>
      </w:r>
      <w:r>
        <w:rPr>
          <w:spacing w:val="-14"/>
        </w:rPr>
        <w:t> </w:t>
      </w:r>
      <w:r>
        <w:rPr/>
        <w:t>tel</w:t>
      </w:r>
      <w:r>
        <w:rPr>
          <w:spacing w:val="-14"/>
        </w:rPr>
        <w:t> </w:t>
      </w:r>
      <w:r>
        <w:rPr/>
        <w:t>que</w:t>
      </w:r>
      <w:r>
        <w:rPr>
          <w:spacing w:val="-12"/>
        </w:rPr>
        <w:t> </w:t>
      </w:r>
      <w:r>
        <w:rPr/>
        <w:t>décrit,</w:t>
      </w:r>
      <w:r>
        <w:rPr>
          <w:spacing w:val="-14"/>
        </w:rPr>
        <w:t> </w:t>
      </w:r>
      <w:r>
        <w:rPr/>
        <w:t>inclut</w:t>
      </w:r>
      <w:r>
        <w:rPr>
          <w:spacing w:val="-13"/>
        </w:rPr>
        <w:t> </w:t>
      </w:r>
      <w:r>
        <w:rPr/>
        <w:t>l’examen</w:t>
      </w:r>
      <w:r>
        <w:rPr>
          <w:spacing w:val="-14"/>
        </w:rPr>
        <w:t> </w:t>
      </w:r>
      <w:r>
        <w:rPr/>
        <w:t>et</w:t>
      </w:r>
      <w:r>
        <w:rPr>
          <w:spacing w:val="-13"/>
        </w:rPr>
        <w:t> </w:t>
      </w:r>
      <w:r>
        <w:rPr/>
        <w:t>la</w:t>
      </w:r>
      <w:r>
        <w:rPr>
          <w:spacing w:val="-13"/>
        </w:rPr>
        <w:t> </w:t>
      </w:r>
      <w:r>
        <w:rPr/>
        <w:t>vérification</w:t>
      </w:r>
      <w:r>
        <w:rPr>
          <w:spacing w:val="-13"/>
        </w:rPr>
        <w:t> </w:t>
      </w:r>
      <w:r>
        <w:rPr/>
        <w:t>des</w:t>
      </w:r>
      <w:r>
        <w:rPr>
          <w:spacing w:val="-14"/>
        </w:rPr>
        <w:t> </w:t>
      </w:r>
      <w:r>
        <w:rPr/>
        <w:t>qualifications</w:t>
      </w:r>
      <w:r>
        <w:rPr>
          <w:spacing w:val="-14"/>
        </w:rPr>
        <w:t> </w:t>
      </w:r>
      <w:r>
        <w:rPr/>
        <w:t>et</w:t>
      </w:r>
      <w:r>
        <w:rPr>
          <w:spacing w:val="-13"/>
        </w:rPr>
        <w:t> </w:t>
      </w:r>
      <w:r>
        <w:rPr/>
        <w:t>des performances passées ainsi qu’un contrôle des références de l’Offrant, avant l’adjudication du Contrat Cadre.</w:t>
      </w:r>
    </w:p>
    <w:p>
      <w:pPr>
        <w:pStyle w:val="BodyText"/>
        <w:spacing w:line="259" w:lineRule="auto" w:before="160"/>
        <w:ind w:left="1080" w:right="1076"/>
        <w:jc w:val="both"/>
      </w:pPr>
      <w:r>
        <w:rPr/>
        <w:t>La</w:t>
      </w:r>
      <w:r>
        <w:rPr>
          <w:spacing w:val="-4"/>
        </w:rPr>
        <w:t> </w:t>
      </w:r>
      <w:r>
        <w:rPr/>
        <w:t>Conférence</w:t>
      </w:r>
      <w:r>
        <w:rPr>
          <w:spacing w:val="-4"/>
        </w:rPr>
        <w:t> </w:t>
      </w:r>
      <w:r>
        <w:rPr/>
        <w:t>préalable</w:t>
      </w:r>
      <w:r>
        <w:rPr>
          <w:spacing w:val="-3"/>
        </w:rPr>
        <w:t> </w:t>
      </w:r>
      <w:r>
        <w:rPr/>
        <w:t>à</w:t>
      </w:r>
      <w:r>
        <w:rPr>
          <w:spacing w:val="-4"/>
        </w:rPr>
        <w:t> </w:t>
      </w:r>
      <w:r>
        <w:rPr/>
        <w:t>la</w:t>
      </w:r>
      <w:r>
        <w:rPr>
          <w:spacing w:val="-3"/>
        </w:rPr>
        <w:t> </w:t>
      </w:r>
      <w:r>
        <w:rPr/>
        <w:t>soumission</w:t>
      </w:r>
      <w:r>
        <w:rPr>
          <w:spacing w:val="-3"/>
        </w:rPr>
        <w:t> </w:t>
      </w:r>
      <w:r>
        <w:rPr/>
        <w:t>des</w:t>
      </w:r>
      <w:r>
        <w:rPr>
          <w:spacing w:val="-2"/>
        </w:rPr>
        <w:t> </w:t>
      </w:r>
      <w:r>
        <w:rPr/>
        <w:t>Offres</w:t>
      </w:r>
      <w:r>
        <w:rPr>
          <w:spacing w:val="-3"/>
        </w:rPr>
        <w:t> </w:t>
      </w:r>
      <w:r>
        <w:rPr/>
        <w:t>se</w:t>
      </w:r>
      <w:r>
        <w:rPr>
          <w:spacing w:val="-4"/>
        </w:rPr>
        <w:t> </w:t>
      </w:r>
      <w:r>
        <w:rPr/>
        <w:t>tiendra,</w:t>
      </w:r>
      <w:r>
        <w:rPr>
          <w:spacing w:val="-4"/>
        </w:rPr>
        <w:t> </w:t>
      </w:r>
      <w:r>
        <w:rPr/>
        <w:t>comme</w:t>
      </w:r>
      <w:r>
        <w:rPr>
          <w:spacing w:val="-4"/>
        </w:rPr>
        <w:t> </w:t>
      </w:r>
      <w:r>
        <w:rPr/>
        <w:t>indiqué</w:t>
      </w:r>
      <w:r>
        <w:rPr>
          <w:spacing w:val="-3"/>
        </w:rPr>
        <w:t> </w:t>
      </w:r>
      <w:r>
        <w:rPr/>
        <w:t>dans</w:t>
      </w:r>
      <w:r>
        <w:rPr>
          <w:spacing w:val="-3"/>
        </w:rPr>
        <w:t> </w:t>
      </w:r>
      <w:r>
        <w:rPr/>
        <w:t>les</w:t>
      </w:r>
      <w:r>
        <w:rPr>
          <w:spacing w:val="-4"/>
        </w:rPr>
        <w:t> </w:t>
      </w:r>
      <w:r>
        <w:rPr/>
        <w:t>Données Particulières</w:t>
      </w:r>
      <w:r>
        <w:rPr>
          <w:spacing w:val="-4"/>
        </w:rPr>
        <w:t> </w:t>
      </w:r>
      <w:r>
        <w:rPr/>
        <w:t>(«</w:t>
      </w:r>
      <w:r>
        <w:rPr>
          <w:spacing w:val="-4"/>
        </w:rPr>
        <w:t> </w:t>
      </w:r>
      <w:r>
        <w:rPr/>
        <w:t>DP</w:t>
      </w:r>
      <w:r>
        <w:rPr>
          <w:spacing w:val="-4"/>
        </w:rPr>
        <w:t> </w:t>
      </w:r>
      <w:r>
        <w:rPr/>
        <w:t>»),</w:t>
      </w:r>
      <w:r>
        <w:rPr>
          <w:spacing w:val="-3"/>
        </w:rPr>
        <w:t> </w:t>
      </w:r>
      <w:r>
        <w:rPr/>
        <w:t>à</w:t>
      </w:r>
      <w:r>
        <w:rPr>
          <w:spacing w:val="-3"/>
        </w:rPr>
        <w:t> </w:t>
      </w:r>
      <w:r>
        <w:rPr/>
        <w:t>la</w:t>
      </w:r>
      <w:r>
        <w:rPr>
          <w:spacing w:val="-4"/>
        </w:rPr>
        <w:t> </w:t>
      </w:r>
      <w:r>
        <w:rPr/>
        <w:t>Section</w:t>
      </w:r>
      <w:r>
        <w:rPr>
          <w:spacing w:val="-2"/>
        </w:rPr>
        <w:t> </w:t>
      </w:r>
      <w:r>
        <w:rPr/>
        <w:t>II</w:t>
      </w:r>
      <w:r>
        <w:rPr>
          <w:spacing w:val="-4"/>
        </w:rPr>
        <w:t> </w:t>
      </w:r>
      <w:r>
        <w:rPr/>
        <w:t>de</w:t>
      </w:r>
      <w:r>
        <w:rPr>
          <w:spacing w:val="-4"/>
        </w:rPr>
        <w:t> </w:t>
      </w:r>
      <w:r>
        <w:rPr/>
        <w:t>la</w:t>
      </w:r>
      <w:r>
        <w:rPr>
          <w:spacing w:val="-3"/>
        </w:rPr>
        <w:t> </w:t>
      </w:r>
      <w:r>
        <w:rPr/>
        <w:t>présente</w:t>
      </w:r>
      <w:r>
        <w:rPr>
          <w:spacing w:val="-4"/>
        </w:rPr>
        <w:t> </w:t>
      </w:r>
      <w:r>
        <w:rPr/>
        <w:t>Demande</w:t>
      </w:r>
      <w:r>
        <w:rPr>
          <w:spacing w:val="-3"/>
        </w:rPr>
        <w:t> </w:t>
      </w:r>
      <w:r>
        <w:rPr/>
        <w:t>d’Offres</w:t>
      </w:r>
      <w:r>
        <w:rPr>
          <w:spacing w:val="-5"/>
        </w:rPr>
        <w:t> </w:t>
      </w:r>
      <w:r>
        <w:rPr/>
        <w:t>(</w:t>
      </w:r>
      <w:r>
        <w:rPr>
          <w:b/>
        </w:rPr>
        <w:t>IO</w:t>
      </w:r>
      <w:r>
        <w:rPr>
          <w:b/>
          <w:spacing w:val="-2"/>
        </w:rPr>
        <w:t> </w:t>
      </w:r>
      <w:r>
        <w:rPr>
          <w:b/>
        </w:rPr>
        <w:t>1.3</w:t>
      </w:r>
      <w:r>
        <w:rPr/>
        <w:t>).</w:t>
      </w:r>
    </w:p>
    <w:p>
      <w:pPr>
        <w:pStyle w:val="BodyText"/>
        <w:spacing w:line="259" w:lineRule="auto" w:before="159"/>
        <w:ind w:left="1080" w:right="1075"/>
        <w:jc w:val="both"/>
      </w:pPr>
      <w:r>
        <w:rPr/>
        <w:t>Les Offrants intéressés doivent manifester leur intérêt en renseignant le formulaire </w:t>
      </w:r>
      <w:r>
        <w:rPr>
          <w:spacing w:val="-2"/>
        </w:rPr>
        <w:t>d’enregistrement</w:t>
      </w:r>
      <w:r>
        <w:rPr>
          <w:spacing w:val="-12"/>
        </w:rPr>
        <w:t> </w:t>
      </w:r>
      <w:r>
        <w:rPr>
          <w:spacing w:val="-2"/>
        </w:rPr>
        <w:t>en</w:t>
      </w:r>
      <w:r>
        <w:rPr>
          <w:spacing w:val="-12"/>
        </w:rPr>
        <w:t> </w:t>
      </w:r>
      <w:r>
        <w:rPr>
          <w:spacing w:val="-2"/>
        </w:rPr>
        <w:t>ligne</w:t>
      </w:r>
      <w:r>
        <w:rPr>
          <w:spacing w:val="-11"/>
        </w:rPr>
        <w:t> </w:t>
      </w:r>
      <w:r>
        <w:rPr>
          <w:spacing w:val="-2"/>
        </w:rPr>
        <w:t>via</w:t>
      </w:r>
      <w:r>
        <w:rPr>
          <w:spacing w:val="-12"/>
        </w:rPr>
        <w:t> </w:t>
      </w:r>
      <w:r>
        <w:rPr>
          <w:spacing w:val="-2"/>
        </w:rPr>
        <w:t>le</w:t>
      </w:r>
      <w:r>
        <w:rPr>
          <w:spacing w:val="-11"/>
        </w:rPr>
        <w:t> </w:t>
      </w:r>
      <w:r>
        <w:rPr>
          <w:spacing w:val="-2"/>
        </w:rPr>
        <w:t>lien</w:t>
      </w:r>
      <w:r>
        <w:rPr>
          <w:spacing w:val="-12"/>
        </w:rPr>
        <w:t> </w:t>
      </w:r>
      <w:hyperlink r:id="rId12">
        <w:r>
          <w:rPr>
            <w:color w:val="0000FF"/>
            <w:spacing w:val="-2"/>
            <w:u w:val="single" w:color="0000FF"/>
          </w:rPr>
          <w:t>https://forms.cloud.microsoft/Pages/ResponsePage.aspx?id=-</w:t>
        </w:r>
      </w:hyperlink>
      <w:hyperlink r:id="rId12">
        <w:r>
          <w:rPr>
            <w:color w:val="0000FF"/>
            <w:u w:val="single" w:color="0000FF"/>
          </w:rPr>
          <w:t>VFL3TjuDU-</w:t>
        </w:r>
      </w:hyperlink>
    </w:p>
    <w:p>
      <w:pPr>
        <w:pStyle w:val="BodyText"/>
        <w:ind w:left="1080"/>
        <w:jc w:val="both"/>
      </w:pPr>
      <w:hyperlink r:id="rId12">
        <w:r>
          <w:rPr>
            <w:color w:val="0000FF"/>
            <w:spacing w:val="-2"/>
            <w:u w:val="single" w:color="0000FF"/>
          </w:rPr>
          <w:t>H0w_MGQSEz8ekjasqOyNOrKAK9LydjptUMENOQzFLOEhUOE01M0xXR1dLS1ZMRjRKNy4u</w:t>
        </w:r>
      </w:hyperlink>
      <w:r>
        <w:rPr>
          <w:color w:val="0000FF"/>
          <w:spacing w:val="22"/>
        </w:rPr>
        <w:t> </w:t>
      </w:r>
      <w:r>
        <w:rPr>
          <w:spacing w:val="-10"/>
        </w:rPr>
        <w:t>.</w:t>
      </w:r>
    </w:p>
    <w:p>
      <w:pPr>
        <w:tabs>
          <w:tab w:pos="3105" w:val="left" w:leader="none"/>
          <w:tab w:pos="4631" w:val="left" w:leader="none"/>
          <w:tab w:pos="6334" w:val="left" w:leader="none"/>
          <w:tab w:pos="8335" w:val="left" w:leader="none"/>
          <w:tab w:pos="10378" w:val="left" w:leader="none"/>
        </w:tabs>
        <w:spacing w:before="182"/>
        <w:ind w:left="1080" w:right="1074" w:firstLine="0"/>
        <w:jc w:val="both"/>
        <w:rPr>
          <w:sz w:val="22"/>
        </w:rPr>
      </w:pPr>
      <w:r>
        <w:rPr>
          <w:spacing w:val="-2"/>
          <w:sz w:val="24"/>
        </w:rPr>
        <w:t>Le</w:t>
      </w:r>
      <w:r>
        <w:rPr>
          <w:spacing w:val="-5"/>
          <w:sz w:val="24"/>
        </w:rPr>
        <w:t> </w:t>
      </w:r>
      <w:r>
        <w:rPr>
          <w:spacing w:val="-2"/>
          <w:sz w:val="24"/>
        </w:rPr>
        <w:t>dossier</w:t>
      </w:r>
      <w:r>
        <w:rPr>
          <w:spacing w:val="-4"/>
          <w:sz w:val="24"/>
        </w:rPr>
        <w:t> </w:t>
      </w:r>
      <w:r>
        <w:rPr>
          <w:spacing w:val="-2"/>
          <w:sz w:val="24"/>
        </w:rPr>
        <w:t>de</w:t>
      </w:r>
      <w:r>
        <w:rPr>
          <w:spacing w:val="-5"/>
          <w:sz w:val="24"/>
        </w:rPr>
        <w:t> </w:t>
      </w:r>
      <w:r>
        <w:rPr>
          <w:spacing w:val="-2"/>
          <w:sz w:val="24"/>
        </w:rPr>
        <w:t>demande</w:t>
      </w:r>
      <w:r>
        <w:rPr>
          <w:spacing w:val="-4"/>
          <w:sz w:val="24"/>
        </w:rPr>
        <w:t> </w:t>
      </w:r>
      <w:r>
        <w:rPr>
          <w:spacing w:val="-2"/>
          <w:sz w:val="24"/>
        </w:rPr>
        <w:t>d’offres</w:t>
      </w:r>
      <w:r>
        <w:rPr>
          <w:spacing w:val="-6"/>
          <w:sz w:val="24"/>
        </w:rPr>
        <w:t> </w:t>
      </w:r>
      <w:r>
        <w:rPr>
          <w:spacing w:val="-2"/>
          <w:sz w:val="24"/>
        </w:rPr>
        <w:t>complet</w:t>
      </w:r>
      <w:r>
        <w:rPr>
          <w:spacing w:val="-4"/>
          <w:sz w:val="24"/>
        </w:rPr>
        <w:t> </w:t>
      </w:r>
      <w:r>
        <w:rPr>
          <w:spacing w:val="-2"/>
          <w:sz w:val="24"/>
        </w:rPr>
        <w:t>peut</w:t>
      </w:r>
      <w:r>
        <w:rPr>
          <w:spacing w:val="-4"/>
          <w:sz w:val="24"/>
        </w:rPr>
        <w:t> </w:t>
      </w:r>
      <w:r>
        <w:rPr>
          <w:spacing w:val="-2"/>
          <w:sz w:val="24"/>
        </w:rPr>
        <w:t>être</w:t>
      </w:r>
      <w:r>
        <w:rPr>
          <w:spacing w:val="-5"/>
          <w:sz w:val="24"/>
        </w:rPr>
        <w:t> </w:t>
      </w:r>
      <w:r>
        <w:rPr>
          <w:spacing w:val="-2"/>
          <w:sz w:val="24"/>
        </w:rPr>
        <w:t>obtenu</w:t>
      </w:r>
      <w:r>
        <w:rPr>
          <w:spacing w:val="-6"/>
          <w:sz w:val="24"/>
        </w:rPr>
        <w:t> </w:t>
      </w:r>
      <w:r>
        <w:rPr>
          <w:spacing w:val="-2"/>
          <w:sz w:val="24"/>
        </w:rPr>
        <w:t>par</w:t>
      </w:r>
      <w:r>
        <w:rPr>
          <w:spacing w:val="-5"/>
          <w:sz w:val="24"/>
        </w:rPr>
        <w:t> </w:t>
      </w:r>
      <w:r>
        <w:rPr>
          <w:spacing w:val="-2"/>
          <w:sz w:val="24"/>
        </w:rPr>
        <w:t>les</w:t>
      </w:r>
      <w:r>
        <w:rPr>
          <w:spacing w:val="-5"/>
          <w:sz w:val="24"/>
        </w:rPr>
        <w:t> </w:t>
      </w:r>
      <w:r>
        <w:rPr>
          <w:spacing w:val="-2"/>
          <w:sz w:val="24"/>
        </w:rPr>
        <w:t>offrants</w:t>
      </w:r>
      <w:r>
        <w:rPr>
          <w:spacing w:val="-6"/>
          <w:sz w:val="24"/>
        </w:rPr>
        <w:t> </w:t>
      </w:r>
      <w:r>
        <w:rPr>
          <w:spacing w:val="-2"/>
          <w:sz w:val="24"/>
        </w:rPr>
        <w:t>admissibles</w:t>
      </w:r>
      <w:r>
        <w:rPr>
          <w:spacing w:val="-5"/>
          <w:sz w:val="24"/>
        </w:rPr>
        <w:t> </w:t>
      </w:r>
      <w:r>
        <w:rPr>
          <w:spacing w:val="-2"/>
          <w:sz w:val="24"/>
        </w:rPr>
        <w:t>intéressés</w:t>
      </w:r>
      <w:r>
        <w:rPr>
          <w:spacing w:val="-5"/>
          <w:sz w:val="24"/>
        </w:rPr>
        <w:t> </w:t>
      </w:r>
      <w:r>
        <w:rPr>
          <w:spacing w:val="-2"/>
          <w:sz w:val="24"/>
        </w:rPr>
        <w:t>à travers</w:t>
      </w:r>
      <w:r>
        <w:rPr>
          <w:sz w:val="24"/>
        </w:rPr>
        <w:tab/>
      </w:r>
      <w:r>
        <w:rPr>
          <w:spacing w:val="-6"/>
          <w:sz w:val="24"/>
        </w:rPr>
        <w:t>le</w:t>
      </w:r>
      <w:r>
        <w:rPr>
          <w:sz w:val="24"/>
        </w:rPr>
        <w:tab/>
      </w:r>
      <w:r>
        <w:rPr>
          <w:spacing w:val="-4"/>
          <w:sz w:val="24"/>
        </w:rPr>
        <w:t>lien</w:t>
      </w:r>
      <w:r>
        <w:rPr>
          <w:sz w:val="24"/>
        </w:rPr>
        <w:tab/>
      </w:r>
      <w:r>
        <w:rPr>
          <w:spacing w:val="-2"/>
          <w:sz w:val="24"/>
        </w:rPr>
        <w:t>Pcloud</w:t>
      </w:r>
      <w:r>
        <w:rPr>
          <w:sz w:val="24"/>
        </w:rPr>
        <w:tab/>
      </w:r>
      <w:r>
        <w:rPr>
          <w:spacing w:val="-2"/>
          <w:sz w:val="24"/>
        </w:rPr>
        <w:t>suivant</w:t>
      </w:r>
      <w:r>
        <w:rPr>
          <w:sz w:val="24"/>
        </w:rPr>
        <w:tab/>
      </w:r>
      <w:r>
        <w:rPr>
          <w:spacing w:val="-10"/>
          <w:sz w:val="24"/>
        </w:rPr>
        <w:t>: </w:t>
      </w:r>
      <w:hyperlink r:id="rId13">
        <w:r>
          <w:rPr>
            <w:color w:val="0000FF"/>
            <w:spacing w:val="-2"/>
            <w:sz w:val="22"/>
            <w:u w:val="single" w:color="0000FF"/>
          </w:rPr>
          <w:t>https://u.pcloud.link/publink/show?code=kZfpm0JZewQLB4H3ilBLeD3M1qQj1jam14nX</w:t>
        </w:r>
      </w:hyperlink>
    </w:p>
    <w:p>
      <w:pPr>
        <w:pStyle w:val="BodyText"/>
        <w:spacing w:before="1"/>
        <w:rPr>
          <w:sz w:val="22"/>
        </w:rPr>
      </w:pPr>
    </w:p>
    <w:p>
      <w:pPr>
        <w:spacing w:before="1"/>
        <w:ind w:left="1080" w:right="1078" w:firstLine="0"/>
        <w:jc w:val="both"/>
        <w:rPr>
          <w:sz w:val="22"/>
        </w:rPr>
      </w:pPr>
      <w:r>
        <w:rPr>
          <w:spacing w:val="-4"/>
          <w:sz w:val="22"/>
        </w:rPr>
        <w:t>Une</w:t>
      </w:r>
      <w:r>
        <w:rPr>
          <w:spacing w:val="-5"/>
          <w:sz w:val="22"/>
        </w:rPr>
        <w:t> </w:t>
      </w:r>
      <w:r>
        <w:rPr>
          <w:spacing w:val="-4"/>
          <w:sz w:val="22"/>
        </w:rPr>
        <w:t>Conférence Préalable</w:t>
      </w:r>
      <w:r>
        <w:rPr>
          <w:spacing w:val="-5"/>
          <w:sz w:val="22"/>
        </w:rPr>
        <w:t> </w:t>
      </w:r>
      <w:r>
        <w:rPr>
          <w:spacing w:val="-4"/>
          <w:sz w:val="22"/>
        </w:rPr>
        <w:t>à la</w:t>
      </w:r>
      <w:r>
        <w:rPr>
          <w:spacing w:val="-5"/>
          <w:sz w:val="22"/>
        </w:rPr>
        <w:t> </w:t>
      </w:r>
      <w:r>
        <w:rPr>
          <w:spacing w:val="-4"/>
          <w:sz w:val="22"/>
        </w:rPr>
        <w:t>soumission des offres</w:t>
      </w:r>
      <w:r>
        <w:rPr>
          <w:spacing w:val="-5"/>
          <w:sz w:val="22"/>
        </w:rPr>
        <w:t> </w:t>
      </w:r>
      <w:r>
        <w:rPr>
          <w:spacing w:val="-4"/>
          <w:sz w:val="22"/>
        </w:rPr>
        <w:t>aura</w:t>
      </w:r>
      <w:r>
        <w:rPr>
          <w:spacing w:val="-5"/>
          <w:sz w:val="22"/>
        </w:rPr>
        <w:t> </w:t>
      </w:r>
      <w:r>
        <w:rPr>
          <w:spacing w:val="-4"/>
          <w:sz w:val="22"/>
        </w:rPr>
        <w:t>lieu dans le cadre de</w:t>
      </w:r>
      <w:r>
        <w:rPr>
          <w:spacing w:val="-5"/>
          <w:sz w:val="22"/>
        </w:rPr>
        <w:t> </w:t>
      </w:r>
      <w:r>
        <w:rPr>
          <w:spacing w:val="-4"/>
          <w:sz w:val="22"/>
        </w:rPr>
        <w:t>la</w:t>
      </w:r>
      <w:r>
        <w:rPr>
          <w:spacing w:val="-5"/>
          <w:sz w:val="22"/>
        </w:rPr>
        <w:t> </w:t>
      </w:r>
      <w:r>
        <w:rPr>
          <w:spacing w:val="-4"/>
          <w:sz w:val="22"/>
        </w:rPr>
        <w:t>présente</w:t>
      </w:r>
      <w:r>
        <w:rPr>
          <w:spacing w:val="-5"/>
          <w:sz w:val="22"/>
        </w:rPr>
        <w:t> </w:t>
      </w:r>
      <w:r>
        <w:rPr>
          <w:spacing w:val="-4"/>
          <w:sz w:val="22"/>
        </w:rPr>
        <w:t>Demande d’Offres </w:t>
      </w:r>
      <w:r>
        <w:rPr>
          <w:b/>
          <w:sz w:val="22"/>
        </w:rPr>
        <w:t>le 18 septembre 2026 à partir de 15h00 heure </w:t>
      </w:r>
      <w:r>
        <w:rPr>
          <w:sz w:val="22"/>
        </w:rPr>
        <w:t>d’Abidjan en visioconférence via le lien suivant Teams </w:t>
      </w:r>
      <w:hyperlink r:id="rId14">
        <w:r>
          <w:rPr>
            <w:b/>
            <w:color w:val="0000FF"/>
            <w:spacing w:val="-2"/>
            <w:sz w:val="24"/>
            <w:u w:val="single" w:color="0000FF"/>
          </w:rPr>
          <w:t>https://teams.microsoft.com/meet/261987809852710?p=4Y7tVAZjYsUUx9neWW</w:t>
        </w:r>
        <w:r>
          <w:rPr>
            <w:spacing w:val="-2"/>
            <w:sz w:val="22"/>
          </w:rPr>
          <w:t>.</w:t>
        </w:r>
      </w:hyperlink>
    </w:p>
    <w:p>
      <w:pPr>
        <w:spacing w:before="0"/>
        <w:ind w:left="1080" w:right="0" w:firstLine="0"/>
        <w:jc w:val="both"/>
        <w:rPr>
          <w:sz w:val="22"/>
        </w:rPr>
      </w:pPr>
      <w:r>
        <w:rPr>
          <w:spacing w:val="-2"/>
          <w:sz w:val="22"/>
        </w:rPr>
        <w:t>La</w:t>
      </w:r>
      <w:r>
        <w:rPr>
          <w:spacing w:val="-9"/>
          <w:sz w:val="22"/>
        </w:rPr>
        <w:t> </w:t>
      </w:r>
      <w:r>
        <w:rPr>
          <w:spacing w:val="-2"/>
          <w:sz w:val="22"/>
        </w:rPr>
        <w:t>participation</w:t>
      </w:r>
      <w:r>
        <w:rPr>
          <w:spacing w:val="-10"/>
          <w:sz w:val="22"/>
        </w:rPr>
        <w:t> </w:t>
      </w:r>
      <w:r>
        <w:rPr>
          <w:spacing w:val="-2"/>
          <w:sz w:val="22"/>
        </w:rPr>
        <w:t>à</w:t>
      </w:r>
      <w:r>
        <w:rPr>
          <w:spacing w:val="-9"/>
          <w:sz w:val="22"/>
        </w:rPr>
        <w:t> </w:t>
      </w:r>
      <w:r>
        <w:rPr>
          <w:spacing w:val="-2"/>
          <w:sz w:val="22"/>
        </w:rPr>
        <w:t>cette</w:t>
      </w:r>
      <w:r>
        <w:rPr>
          <w:spacing w:val="-9"/>
          <w:sz w:val="22"/>
        </w:rPr>
        <w:t> </w:t>
      </w:r>
      <w:r>
        <w:rPr>
          <w:spacing w:val="-2"/>
          <w:sz w:val="22"/>
        </w:rPr>
        <w:t>Conférence</w:t>
      </w:r>
      <w:r>
        <w:rPr>
          <w:spacing w:val="-8"/>
          <w:sz w:val="22"/>
        </w:rPr>
        <w:t> </w:t>
      </w:r>
      <w:r>
        <w:rPr>
          <w:spacing w:val="-2"/>
          <w:sz w:val="22"/>
        </w:rPr>
        <w:t>est</w:t>
      </w:r>
      <w:r>
        <w:rPr>
          <w:spacing w:val="-10"/>
          <w:sz w:val="22"/>
        </w:rPr>
        <w:t> </w:t>
      </w:r>
      <w:r>
        <w:rPr>
          <w:spacing w:val="-2"/>
          <w:sz w:val="22"/>
        </w:rPr>
        <w:t>recommandée</w:t>
      </w:r>
      <w:r>
        <w:rPr>
          <w:spacing w:val="-8"/>
          <w:sz w:val="22"/>
        </w:rPr>
        <w:t> </w:t>
      </w:r>
      <w:r>
        <w:rPr>
          <w:spacing w:val="-2"/>
          <w:sz w:val="22"/>
        </w:rPr>
        <w:t>mais</w:t>
      </w:r>
      <w:r>
        <w:rPr>
          <w:spacing w:val="-8"/>
          <w:sz w:val="22"/>
        </w:rPr>
        <w:t> </w:t>
      </w:r>
      <w:r>
        <w:rPr>
          <w:spacing w:val="-2"/>
          <w:sz w:val="22"/>
        </w:rPr>
        <w:t>n’est</w:t>
      </w:r>
      <w:r>
        <w:rPr>
          <w:spacing w:val="-10"/>
          <w:sz w:val="22"/>
        </w:rPr>
        <w:t> </w:t>
      </w:r>
      <w:r>
        <w:rPr>
          <w:spacing w:val="-2"/>
          <w:sz w:val="22"/>
        </w:rPr>
        <w:t>pas</w:t>
      </w:r>
      <w:r>
        <w:rPr>
          <w:spacing w:val="-9"/>
          <w:sz w:val="22"/>
        </w:rPr>
        <w:t> </w:t>
      </w:r>
      <w:r>
        <w:rPr>
          <w:spacing w:val="-2"/>
          <w:sz w:val="22"/>
        </w:rPr>
        <w:t>obligatoire.</w:t>
      </w:r>
    </w:p>
    <w:p>
      <w:pPr>
        <w:pStyle w:val="BodyText"/>
        <w:spacing w:before="23"/>
        <w:rPr>
          <w:sz w:val="22"/>
        </w:rPr>
      </w:pPr>
    </w:p>
    <w:p>
      <w:pPr>
        <w:spacing w:line="259" w:lineRule="auto" w:before="0"/>
        <w:ind w:left="1079" w:right="1076" w:firstLine="0"/>
        <w:jc w:val="both"/>
        <w:rPr>
          <w:sz w:val="22"/>
        </w:rPr>
      </w:pPr>
      <w:r>
        <w:rPr>
          <w:sz w:val="24"/>
        </w:rPr>
        <w:t>Les offres doivent être soumises uniquement par voie électronique via le Lien de Demande de Fichier</w:t>
      </w:r>
      <w:r>
        <w:rPr>
          <w:spacing w:val="31"/>
          <w:sz w:val="24"/>
        </w:rPr>
        <w:t> </w:t>
      </w:r>
      <w:r>
        <w:rPr>
          <w:sz w:val="24"/>
        </w:rPr>
        <w:t>(LDF)</w:t>
      </w:r>
      <w:r>
        <w:rPr>
          <w:spacing w:val="30"/>
          <w:sz w:val="24"/>
        </w:rPr>
        <w:t> </w:t>
      </w:r>
      <w:r>
        <w:rPr>
          <w:sz w:val="24"/>
        </w:rPr>
        <w:t>ci-après</w:t>
      </w:r>
      <w:r>
        <w:rPr>
          <w:spacing w:val="-13"/>
          <w:sz w:val="24"/>
        </w:rPr>
        <w:t> </w:t>
      </w:r>
      <w:r>
        <w:rPr>
          <w:sz w:val="24"/>
        </w:rPr>
        <w:t>:</w:t>
      </w:r>
      <w:r>
        <w:rPr>
          <w:spacing w:val="80"/>
          <w:w w:val="150"/>
          <w:sz w:val="24"/>
        </w:rPr>
        <w:t> </w:t>
      </w:r>
      <w:hyperlink r:id="rId15">
        <w:r>
          <w:rPr>
            <w:color w:val="0000FF"/>
            <w:sz w:val="22"/>
            <w:u w:val="single" w:color="0000FF"/>
          </w:rPr>
          <w:t>https://u.pcloud.com/#/puplink?code=2ACXZtceH2f6Ta4FVD6ITKcj5cVtGtvuV</w:t>
        </w:r>
      </w:hyperlink>
    </w:p>
    <w:p>
      <w:pPr>
        <w:spacing w:line="293" w:lineRule="exact" w:before="0"/>
        <w:ind w:left="1080" w:right="0" w:firstLine="0"/>
        <w:jc w:val="both"/>
        <w:rPr>
          <w:b/>
          <w:sz w:val="22"/>
        </w:rPr>
      </w:pPr>
      <w:r>
        <w:rPr>
          <w:sz w:val="24"/>
        </w:rPr>
        <w:t>.Ce</w:t>
      </w:r>
      <w:r>
        <w:rPr>
          <w:spacing w:val="-12"/>
          <w:sz w:val="24"/>
        </w:rPr>
        <w:t> </w:t>
      </w:r>
      <w:r>
        <w:rPr>
          <w:sz w:val="24"/>
        </w:rPr>
        <w:t>lien</w:t>
      </w:r>
      <w:r>
        <w:rPr>
          <w:spacing w:val="-13"/>
          <w:sz w:val="24"/>
        </w:rPr>
        <w:t> </w:t>
      </w:r>
      <w:r>
        <w:rPr>
          <w:sz w:val="24"/>
        </w:rPr>
        <w:t>expirera</w:t>
      </w:r>
      <w:r>
        <w:rPr>
          <w:spacing w:val="-12"/>
          <w:sz w:val="24"/>
        </w:rPr>
        <w:t> </w:t>
      </w:r>
      <w:r>
        <w:rPr>
          <w:sz w:val="24"/>
        </w:rPr>
        <w:t>à</w:t>
      </w:r>
      <w:r>
        <w:rPr>
          <w:spacing w:val="-11"/>
          <w:sz w:val="24"/>
        </w:rPr>
        <w:t> </w:t>
      </w:r>
      <w:r>
        <w:rPr>
          <w:sz w:val="24"/>
        </w:rPr>
        <w:t>la</w:t>
      </w:r>
      <w:r>
        <w:rPr>
          <w:spacing w:val="-11"/>
          <w:sz w:val="24"/>
        </w:rPr>
        <w:t> </w:t>
      </w:r>
      <w:r>
        <w:rPr>
          <w:sz w:val="24"/>
        </w:rPr>
        <w:t>date</w:t>
      </w:r>
      <w:r>
        <w:rPr>
          <w:spacing w:val="-12"/>
          <w:sz w:val="24"/>
        </w:rPr>
        <w:t> </w:t>
      </w:r>
      <w:r>
        <w:rPr>
          <w:sz w:val="24"/>
        </w:rPr>
        <w:t>limite</w:t>
      </w:r>
      <w:r>
        <w:rPr>
          <w:spacing w:val="-11"/>
          <w:sz w:val="24"/>
        </w:rPr>
        <w:t> </w:t>
      </w:r>
      <w:r>
        <w:rPr>
          <w:sz w:val="24"/>
        </w:rPr>
        <w:t>fixée</w:t>
      </w:r>
      <w:r>
        <w:rPr>
          <w:spacing w:val="-12"/>
          <w:sz w:val="24"/>
        </w:rPr>
        <w:t> </w:t>
      </w:r>
      <w:r>
        <w:rPr>
          <w:sz w:val="24"/>
        </w:rPr>
        <w:t>au</w:t>
      </w:r>
      <w:r>
        <w:rPr>
          <w:spacing w:val="-11"/>
          <w:sz w:val="24"/>
        </w:rPr>
        <w:t> </w:t>
      </w:r>
      <w:r>
        <w:rPr>
          <w:b/>
          <w:sz w:val="22"/>
        </w:rPr>
        <w:t>08</w:t>
      </w:r>
      <w:r>
        <w:rPr>
          <w:b/>
          <w:spacing w:val="-7"/>
          <w:sz w:val="22"/>
        </w:rPr>
        <w:t> </w:t>
      </w:r>
      <w:r>
        <w:rPr>
          <w:b/>
          <w:sz w:val="22"/>
        </w:rPr>
        <w:t>octobre</w:t>
      </w:r>
      <w:r>
        <w:rPr>
          <w:b/>
          <w:spacing w:val="-8"/>
          <w:sz w:val="22"/>
        </w:rPr>
        <w:t> </w:t>
      </w:r>
      <w:r>
        <w:rPr>
          <w:b/>
          <w:sz w:val="22"/>
        </w:rPr>
        <w:t>2026</w:t>
      </w:r>
      <w:r>
        <w:rPr>
          <w:b/>
          <w:spacing w:val="-8"/>
          <w:sz w:val="22"/>
        </w:rPr>
        <w:t> </w:t>
      </w:r>
      <w:r>
        <w:rPr>
          <w:b/>
          <w:sz w:val="22"/>
        </w:rPr>
        <w:t>avant</w:t>
      </w:r>
      <w:r>
        <w:rPr>
          <w:b/>
          <w:spacing w:val="-7"/>
          <w:sz w:val="22"/>
        </w:rPr>
        <w:t> </w:t>
      </w:r>
      <w:r>
        <w:rPr>
          <w:b/>
          <w:sz w:val="22"/>
        </w:rPr>
        <w:t>15h00</w:t>
      </w:r>
      <w:r>
        <w:rPr>
          <w:b/>
          <w:spacing w:val="-8"/>
          <w:sz w:val="22"/>
        </w:rPr>
        <w:t> </w:t>
      </w:r>
      <w:r>
        <w:rPr>
          <w:b/>
          <w:sz w:val="22"/>
        </w:rPr>
        <w:t>(heure</w:t>
      </w:r>
      <w:r>
        <w:rPr>
          <w:b/>
          <w:spacing w:val="-7"/>
          <w:sz w:val="22"/>
        </w:rPr>
        <w:t> </w:t>
      </w:r>
      <w:r>
        <w:rPr>
          <w:b/>
          <w:spacing w:val="-2"/>
          <w:sz w:val="22"/>
        </w:rPr>
        <w:t>d’Abidjan).</w:t>
      </w:r>
    </w:p>
    <w:p>
      <w:pPr>
        <w:pStyle w:val="BodyText"/>
        <w:spacing w:line="259" w:lineRule="auto" w:before="184"/>
        <w:ind w:left="1079" w:right="1077"/>
        <w:jc w:val="both"/>
      </w:pPr>
      <w:r>
        <w:rPr/>
        <w:t>Toute offre soumise par courrier électronique, sous forme de pièce jointe à un courrier électronique</w:t>
      </w:r>
      <w:r>
        <w:rPr>
          <w:spacing w:val="-8"/>
        </w:rPr>
        <w:t> </w:t>
      </w:r>
      <w:r>
        <w:rPr/>
        <w:t>ou</w:t>
      </w:r>
      <w:r>
        <w:rPr>
          <w:spacing w:val="-8"/>
        </w:rPr>
        <w:t> </w:t>
      </w:r>
      <w:r>
        <w:rPr/>
        <w:t>via</w:t>
      </w:r>
      <w:r>
        <w:rPr>
          <w:spacing w:val="-8"/>
        </w:rPr>
        <w:t> </w:t>
      </w:r>
      <w:r>
        <w:rPr/>
        <w:t>un</w:t>
      </w:r>
      <w:r>
        <w:rPr>
          <w:spacing w:val="-8"/>
        </w:rPr>
        <w:t> </w:t>
      </w:r>
      <w:r>
        <w:rPr/>
        <w:t>support</w:t>
      </w:r>
      <w:r>
        <w:rPr>
          <w:spacing w:val="-8"/>
        </w:rPr>
        <w:t> </w:t>
      </w:r>
      <w:r>
        <w:rPr/>
        <w:t>papier</w:t>
      </w:r>
      <w:r>
        <w:rPr>
          <w:spacing w:val="-8"/>
        </w:rPr>
        <w:t> </w:t>
      </w:r>
      <w:r>
        <w:rPr/>
        <w:t>(que</w:t>
      </w:r>
      <w:r>
        <w:rPr>
          <w:spacing w:val="-8"/>
        </w:rPr>
        <w:t> </w:t>
      </w:r>
      <w:r>
        <w:rPr/>
        <w:t>ce</w:t>
      </w:r>
      <w:r>
        <w:rPr>
          <w:spacing w:val="-8"/>
        </w:rPr>
        <w:t> </w:t>
      </w:r>
      <w:r>
        <w:rPr/>
        <w:t>soit</w:t>
      </w:r>
      <w:r>
        <w:rPr>
          <w:spacing w:val="-8"/>
        </w:rPr>
        <w:t> </w:t>
      </w:r>
      <w:r>
        <w:rPr/>
        <w:t>en</w:t>
      </w:r>
      <w:r>
        <w:rPr>
          <w:spacing w:val="-8"/>
        </w:rPr>
        <w:t> </w:t>
      </w:r>
      <w:r>
        <w:rPr/>
        <w:t>main</w:t>
      </w:r>
      <w:r>
        <w:rPr>
          <w:spacing w:val="-8"/>
        </w:rPr>
        <w:t> </w:t>
      </w:r>
      <w:r>
        <w:rPr/>
        <w:t>propre,</w:t>
      </w:r>
      <w:r>
        <w:rPr>
          <w:spacing w:val="-8"/>
        </w:rPr>
        <w:t> </w:t>
      </w:r>
      <w:r>
        <w:rPr/>
        <w:t>par</w:t>
      </w:r>
      <w:r>
        <w:rPr>
          <w:spacing w:val="-8"/>
        </w:rPr>
        <w:t> </w:t>
      </w:r>
      <w:r>
        <w:rPr/>
        <w:t>voie</w:t>
      </w:r>
      <w:r>
        <w:rPr>
          <w:spacing w:val="-8"/>
        </w:rPr>
        <w:t> </w:t>
      </w:r>
      <w:r>
        <w:rPr/>
        <w:t>postale,</w:t>
      </w:r>
      <w:r>
        <w:rPr>
          <w:spacing w:val="-8"/>
        </w:rPr>
        <w:t> </w:t>
      </w:r>
      <w:r>
        <w:rPr/>
        <w:t>par</w:t>
      </w:r>
      <w:r>
        <w:rPr>
          <w:spacing w:val="-8"/>
        </w:rPr>
        <w:t> </w:t>
      </w:r>
      <w:r>
        <w:rPr/>
        <w:t>coursier, etc.) sera rejetée</w:t>
      </w:r>
    </w:p>
    <w:p>
      <w:pPr>
        <w:pStyle w:val="Heading1"/>
      </w:pPr>
      <w:r>
        <w:rPr>
          <w:spacing w:val="-2"/>
        </w:rPr>
        <w:t>Contact</w:t>
      </w:r>
      <w:r>
        <w:rPr>
          <w:spacing w:val="-13"/>
        </w:rPr>
        <w:t> </w:t>
      </w:r>
      <w:r>
        <w:rPr>
          <w:spacing w:val="-10"/>
        </w:rPr>
        <w:t>:</w:t>
      </w:r>
    </w:p>
    <w:p>
      <w:pPr>
        <w:pStyle w:val="BodyText"/>
        <w:spacing w:before="3"/>
        <w:rPr>
          <w:sz w:val="15"/>
        </w:rPr>
      </w:pPr>
    </w:p>
    <w:tbl>
      <w:tblPr>
        <w:tblW w:w="0" w:type="auto"/>
        <w:jc w:val="left"/>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11"/>
        <w:gridCol w:w="6045"/>
      </w:tblGrid>
      <w:tr>
        <w:trPr>
          <w:trHeight w:val="1343" w:hRule="atLeast"/>
        </w:trPr>
        <w:tc>
          <w:tcPr>
            <w:tcW w:w="3311" w:type="dxa"/>
          </w:tcPr>
          <w:p>
            <w:pPr>
              <w:pStyle w:val="TableParagraph"/>
              <w:spacing w:before="86"/>
              <w:rPr>
                <w:b/>
                <w:sz w:val="22"/>
              </w:rPr>
            </w:pPr>
            <w:r>
              <w:rPr>
                <w:b/>
                <w:spacing w:val="-2"/>
                <w:sz w:val="22"/>
              </w:rPr>
              <w:t>Adresse</w:t>
            </w:r>
          </w:p>
        </w:tc>
        <w:tc>
          <w:tcPr>
            <w:tcW w:w="6045" w:type="dxa"/>
          </w:tcPr>
          <w:p>
            <w:pPr>
              <w:pStyle w:val="TableParagraph"/>
              <w:ind w:left="114"/>
              <w:rPr>
                <w:sz w:val="24"/>
              </w:rPr>
            </w:pPr>
            <w:r>
              <w:rPr>
                <w:spacing w:val="-2"/>
                <w:sz w:val="24"/>
              </w:rPr>
              <w:t>Immeuble</w:t>
            </w:r>
            <w:r>
              <w:rPr>
                <w:spacing w:val="-8"/>
                <w:sz w:val="24"/>
              </w:rPr>
              <w:t> </w:t>
            </w:r>
            <w:r>
              <w:rPr>
                <w:spacing w:val="-2"/>
                <w:sz w:val="24"/>
              </w:rPr>
              <w:t>SPKTRM</w:t>
            </w:r>
          </w:p>
          <w:p>
            <w:pPr>
              <w:pStyle w:val="TableParagraph"/>
              <w:spacing w:before="0"/>
              <w:ind w:left="114"/>
              <w:rPr>
                <w:sz w:val="24"/>
              </w:rPr>
            </w:pPr>
            <w:r>
              <w:rPr>
                <w:spacing w:val="-2"/>
                <w:sz w:val="24"/>
              </w:rPr>
              <w:t>Angle</w:t>
            </w:r>
            <w:r>
              <w:rPr>
                <w:spacing w:val="-7"/>
                <w:sz w:val="24"/>
              </w:rPr>
              <w:t> </w:t>
            </w:r>
            <w:r>
              <w:rPr>
                <w:spacing w:val="-2"/>
                <w:sz w:val="24"/>
              </w:rPr>
              <w:t>Boulevard</w:t>
            </w:r>
            <w:r>
              <w:rPr>
                <w:spacing w:val="-7"/>
                <w:sz w:val="24"/>
              </w:rPr>
              <w:t> </w:t>
            </w:r>
            <w:r>
              <w:rPr>
                <w:spacing w:val="-2"/>
                <w:sz w:val="24"/>
              </w:rPr>
              <w:t>Marie</w:t>
            </w:r>
            <w:r>
              <w:rPr>
                <w:spacing w:val="-8"/>
                <w:sz w:val="24"/>
              </w:rPr>
              <w:t> </w:t>
            </w:r>
            <w:r>
              <w:rPr>
                <w:spacing w:val="-2"/>
                <w:sz w:val="24"/>
              </w:rPr>
              <w:t>Thérèse</w:t>
            </w:r>
            <w:r>
              <w:rPr>
                <w:spacing w:val="-8"/>
                <w:sz w:val="24"/>
              </w:rPr>
              <w:t> </w:t>
            </w:r>
            <w:r>
              <w:rPr>
                <w:spacing w:val="-2"/>
                <w:sz w:val="24"/>
              </w:rPr>
              <w:t>Houphouet</w:t>
            </w:r>
            <w:r>
              <w:rPr>
                <w:spacing w:val="-9"/>
                <w:sz w:val="24"/>
              </w:rPr>
              <w:t> </w:t>
            </w:r>
            <w:r>
              <w:rPr>
                <w:spacing w:val="-2"/>
                <w:sz w:val="24"/>
              </w:rPr>
              <w:t>Boigny</w:t>
            </w:r>
            <w:r>
              <w:rPr>
                <w:spacing w:val="-8"/>
                <w:sz w:val="24"/>
              </w:rPr>
              <w:t> </w:t>
            </w:r>
            <w:r>
              <w:rPr>
                <w:spacing w:val="-2"/>
                <w:sz w:val="24"/>
              </w:rPr>
              <w:t>et</w:t>
            </w:r>
            <w:r>
              <w:rPr>
                <w:spacing w:val="-9"/>
                <w:sz w:val="24"/>
              </w:rPr>
              <w:t> </w:t>
            </w:r>
            <w:r>
              <w:rPr>
                <w:spacing w:val="-2"/>
                <w:sz w:val="24"/>
              </w:rPr>
              <w:t>Rue </w:t>
            </w:r>
            <w:r>
              <w:rPr>
                <w:sz w:val="24"/>
              </w:rPr>
              <w:t>Akissi Marie-Josee Yobouet</w:t>
            </w:r>
          </w:p>
          <w:p>
            <w:pPr>
              <w:pStyle w:val="TableParagraph"/>
              <w:spacing w:before="1"/>
              <w:ind w:left="114"/>
              <w:rPr>
                <w:sz w:val="24"/>
              </w:rPr>
            </w:pPr>
            <w:r>
              <w:rPr>
                <w:spacing w:val="-2"/>
                <w:sz w:val="24"/>
              </w:rPr>
              <w:t>002-14</w:t>
            </w:r>
            <w:r>
              <w:rPr>
                <w:spacing w:val="-6"/>
                <w:sz w:val="24"/>
              </w:rPr>
              <w:t> </w:t>
            </w:r>
            <w:r>
              <w:rPr>
                <w:spacing w:val="-2"/>
                <w:sz w:val="24"/>
              </w:rPr>
              <w:t>Abidjan</w:t>
            </w:r>
            <w:r>
              <w:rPr>
                <w:spacing w:val="-6"/>
                <w:sz w:val="24"/>
              </w:rPr>
              <w:t> </w:t>
            </w:r>
            <w:r>
              <w:rPr>
                <w:spacing w:val="-2"/>
                <w:sz w:val="24"/>
              </w:rPr>
              <w:t>Cocody</w:t>
            </w:r>
            <w:r>
              <w:rPr>
                <w:spacing w:val="-6"/>
                <w:sz w:val="24"/>
              </w:rPr>
              <w:t> </w:t>
            </w:r>
            <w:r>
              <w:rPr>
                <w:spacing w:val="-2"/>
                <w:sz w:val="24"/>
              </w:rPr>
              <w:t>Riviera</w:t>
            </w:r>
            <w:r>
              <w:rPr>
                <w:spacing w:val="-4"/>
                <w:sz w:val="24"/>
              </w:rPr>
              <w:t> </w:t>
            </w:r>
            <w:r>
              <w:rPr>
                <w:spacing w:val="-10"/>
                <w:sz w:val="24"/>
              </w:rPr>
              <w:t>4</w:t>
            </w:r>
          </w:p>
        </w:tc>
      </w:tr>
      <w:tr>
        <w:trPr>
          <w:trHeight w:val="465" w:hRule="atLeast"/>
        </w:trPr>
        <w:tc>
          <w:tcPr>
            <w:tcW w:w="3311" w:type="dxa"/>
          </w:tcPr>
          <w:p>
            <w:pPr>
              <w:pStyle w:val="TableParagraph"/>
              <w:spacing w:before="86"/>
              <w:rPr>
                <w:b/>
                <w:sz w:val="22"/>
              </w:rPr>
            </w:pPr>
            <w:r>
              <w:rPr>
                <w:b/>
                <w:spacing w:val="-2"/>
                <w:sz w:val="22"/>
              </w:rPr>
              <w:t>Attn:</w:t>
            </w:r>
          </w:p>
        </w:tc>
        <w:tc>
          <w:tcPr>
            <w:tcW w:w="6045" w:type="dxa"/>
          </w:tcPr>
          <w:p>
            <w:pPr>
              <w:pStyle w:val="TableParagraph"/>
              <w:ind w:left="114"/>
              <w:rPr>
                <w:sz w:val="24"/>
              </w:rPr>
            </w:pPr>
            <w:r>
              <w:rPr>
                <w:spacing w:val="-2"/>
                <w:sz w:val="24"/>
              </w:rPr>
              <w:t>Agent</w:t>
            </w:r>
            <w:r>
              <w:rPr>
                <w:spacing w:val="-5"/>
                <w:sz w:val="24"/>
              </w:rPr>
              <w:t> </w:t>
            </w:r>
            <w:r>
              <w:rPr>
                <w:spacing w:val="-2"/>
                <w:sz w:val="24"/>
              </w:rPr>
              <w:t>Intérimaire</w:t>
            </w:r>
            <w:r>
              <w:rPr>
                <w:spacing w:val="-6"/>
                <w:sz w:val="24"/>
              </w:rPr>
              <w:t> </w:t>
            </w:r>
            <w:r>
              <w:rPr>
                <w:spacing w:val="-2"/>
                <w:sz w:val="24"/>
              </w:rPr>
              <w:t>de</w:t>
            </w:r>
            <w:r>
              <w:rPr>
                <w:spacing w:val="-5"/>
                <w:sz w:val="24"/>
              </w:rPr>
              <w:t> </w:t>
            </w:r>
            <w:r>
              <w:rPr>
                <w:spacing w:val="-2"/>
                <w:sz w:val="24"/>
              </w:rPr>
              <w:t>Passation</w:t>
            </w:r>
            <w:r>
              <w:rPr>
                <w:spacing w:val="-6"/>
                <w:sz w:val="24"/>
              </w:rPr>
              <w:t> </w:t>
            </w:r>
            <w:r>
              <w:rPr>
                <w:spacing w:val="-2"/>
                <w:sz w:val="24"/>
              </w:rPr>
              <w:t>des</w:t>
            </w:r>
            <w:r>
              <w:rPr>
                <w:spacing w:val="-5"/>
                <w:sz w:val="24"/>
              </w:rPr>
              <w:t> </w:t>
            </w:r>
            <w:r>
              <w:rPr>
                <w:spacing w:val="-2"/>
                <w:sz w:val="24"/>
              </w:rPr>
              <w:t>Marchés</w:t>
            </w:r>
          </w:p>
        </w:tc>
      </w:tr>
      <w:tr>
        <w:trPr>
          <w:trHeight w:val="710" w:hRule="atLeast"/>
        </w:trPr>
        <w:tc>
          <w:tcPr>
            <w:tcW w:w="3311" w:type="dxa"/>
          </w:tcPr>
          <w:p>
            <w:pPr>
              <w:pStyle w:val="TableParagraph"/>
              <w:spacing w:before="86"/>
              <w:rPr>
                <w:b/>
                <w:sz w:val="22"/>
              </w:rPr>
            </w:pPr>
            <w:r>
              <w:rPr>
                <w:b/>
                <w:spacing w:val="-5"/>
                <w:sz w:val="22"/>
              </w:rPr>
              <w:t>E-</w:t>
            </w:r>
            <w:r>
              <w:rPr>
                <w:b/>
                <w:spacing w:val="-2"/>
                <w:sz w:val="22"/>
              </w:rPr>
              <w:t>mail:</w:t>
            </w:r>
          </w:p>
        </w:tc>
        <w:tc>
          <w:tcPr>
            <w:tcW w:w="6045" w:type="dxa"/>
          </w:tcPr>
          <w:p>
            <w:pPr>
              <w:pStyle w:val="TableParagraph"/>
              <w:spacing w:before="86"/>
              <w:ind w:left="114" w:right="1584"/>
              <w:rPr>
                <w:sz w:val="22"/>
              </w:rPr>
            </w:pPr>
            <w:hyperlink r:id="rId16">
              <w:r>
                <w:rPr>
                  <w:color w:val="0000FF"/>
                  <w:spacing w:val="-2"/>
                  <w:sz w:val="22"/>
                  <w:u w:val="single" w:color="0000FF"/>
                </w:rPr>
                <w:t>IPA.CIReg@dt-global.com</w:t>
              </w:r>
            </w:hyperlink>
            <w:r>
              <w:rPr>
                <w:color w:val="0000FF"/>
                <w:spacing w:val="-2"/>
                <w:sz w:val="22"/>
              </w:rPr>
              <w:t> </w:t>
            </w:r>
            <w:hyperlink r:id="rId17">
              <w:r>
                <w:rPr>
                  <w:color w:val="0000FF"/>
                  <w:spacing w:val="-2"/>
                  <w:sz w:val="22"/>
                  <w:u w:val="single" w:color="0000FF"/>
                </w:rPr>
                <w:t>sakoa@mcaciregional.ci</w:t>
              </w:r>
            </w:hyperlink>
          </w:p>
        </w:tc>
      </w:tr>
      <w:tr>
        <w:trPr>
          <w:trHeight w:val="513" w:hRule="atLeast"/>
        </w:trPr>
        <w:tc>
          <w:tcPr>
            <w:tcW w:w="3311" w:type="dxa"/>
          </w:tcPr>
          <w:p>
            <w:pPr>
              <w:pStyle w:val="TableParagraph"/>
              <w:rPr>
                <w:b/>
                <w:sz w:val="22"/>
              </w:rPr>
            </w:pPr>
            <w:r>
              <w:rPr>
                <w:b/>
                <w:spacing w:val="-2"/>
                <w:sz w:val="22"/>
              </w:rPr>
              <w:t>Site</w:t>
            </w:r>
            <w:r>
              <w:rPr>
                <w:b/>
                <w:spacing w:val="-8"/>
                <w:sz w:val="22"/>
              </w:rPr>
              <w:t> </w:t>
            </w:r>
            <w:r>
              <w:rPr>
                <w:b/>
                <w:spacing w:val="-4"/>
                <w:sz w:val="22"/>
              </w:rPr>
              <w:t>Web:</w:t>
            </w:r>
          </w:p>
        </w:tc>
        <w:tc>
          <w:tcPr>
            <w:tcW w:w="6045" w:type="dxa"/>
          </w:tcPr>
          <w:p>
            <w:pPr>
              <w:pStyle w:val="TableParagraph"/>
              <w:spacing w:before="84"/>
              <w:ind w:left="114"/>
              <w:rPr>
                <w:sz w:val="28"/>
              </w:rPr>
            </w:pPr>
            <w:hyperlink r:id="rId18">
              <w:r>
                <w:rPr>
                  <w:color w:val="0000FF"/>
                  <w:spacing w:val="-5"/>
                  <w:sz w:val="28"/>
                  <w:u w:val="single" w:color="0000FF"/>
                </w:rPr>
                <w:t>https://cfpcr-</w:t>
              </w:r>
              <w:r>
                <w:rPr>
                  <w:color w:val="0000FF"/>
                  <w:spacing w:val="-2"/>
                  <w:sz w:val="28"/>
                  <w:u w:val="single" w:color="0000FF"/>
                </w:rPr>
                <w:t>mcc.ci/en/home/</w:t>
              </w:r>
            </w:hyperlink>
          </w:p>
        </w:tc>
      </w:tr>
    </w:tbl>
    <w:sectPr>
      <w:headerReference w:type="default" r:id="rId9"/>
      <w:footerReference w:type="default" r:id="rId10"/>
      <w:pgSz w:w="12240" w:h="15840"/>
      <w:pgMar w:header="348" w:footer="627" w:top="720" w:bottom="82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2848">
              <wp:simplePos x="0" y="0"/>
              <wp:positionH relativeFrom="page">
                <wp:posOffset>3841496</wp:posOffset>
              </wp:positionH>
              <wp:positionV relativeFrom="page">
                <wp:posOffset>9520491</wp:posOffset>
              </wp:positionV>
              <wp:extent cx="90170" cy="1530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90170" cy="153035"/>
                      </a:xfrm>
                      <a:prstGeom prst="rect">
                        <a:avLst/>
                      </a:prstGeom>
                    </wps:spPr>
                    <wps:txbx>
                      <w:txbxContent>
                        <w:p>
                          <w:pPr>
                            <w:spacing w:line="224" w:lineRule="exact" w:before="0"/>
                            <w:ind w:left="20" w:right="0" w:firstLine="0"/>
                            <w:jc w:val="left"/>
                            <w:rPr>
                              <w:sz w:val="20"/>
                            </w:rPr>
                          </w:pPr>
                          <w:r>
                            <w:rPr>
                              <w:spacing w:val="-10"/>
                              <w:sz w:val="20"/>
                            </w:rPr>
                            <w:t>0</w:t>
                          </w:r>
                        </w:p>
                      </w:txbxContent>
                    </wps:txbx>
                    <wps:bodyPr wrap="square" lIns="0" tIns="0" rIns="0" bIns="0" rtlCol="0">
                      <a:noAutofit/>
                    </wps:bodyPr>
                  </wps:wsp>
                </a:graphicData>
              </a:graphic>
            </wp:anchor>
          </w:drawing>
        </mc:Choice>
        <mc:Fallback>
          <w:pict>
            <v:shape style="position:absolute;margin-left:302.480011pt;margin-top:749.64502pt;width:7.1pt;height:12.05pt;mso-position-horizontal-relative:page;mso-position-vertical-relative:page;z-index:-15813632" type="#_x0000_t202" id="docshape2" filled="false" stroked="false">
              <v:textbox inset="0,0,0,0">
                <w:txbxContent>
                  <w:p>
                    <w:pPr>
                      <w:spacing w:line="224" w:lineRule="exact" w:before="0"/>
                      <w:ind w:left="20" w:right="0" w:firstLine="0"/>
                      <w:jc w:val="left"/>
                      <w:rPr>
                        <w:sz w:val="20"/>
                      </w:rPr>
                    </w:pPr>
                    <w:r>
                      <w:rPr>
                        <w:spacing w:val="-10"/>
                        <w:sz w:val="20"/>
                      </w:rPr>
                      <w:t>0</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3872">
              <wp:simplePos x="0" y="0"/>
              <wp:positionH relativeFrom="page">
                <wp:posOffset>3841496</wp:posOffset>
              </wp:positionH>
              <wp:positionV relativeFrom="page">
                <wp:posOffset>9520491</wp:posOffset>
              </wp:positionV>
              <wp:extent cx="90170" cy="1530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90170" cy="153035"/>
                      </a:xfrm>
                      <a:prstGeom prst="rect">
                        <a:avLst/>
                      </a:prstGeom>
                    </wps:spPr>
                    <wps:txbx>
                      <w:txbxContent>
                        <w:p>
                          <w:pPr>
                            <w:spacing w:line="224" w:lineRule="exact" w:before="0"/>
                            <w:ind w:left="20" w:right="0" w:firstLine="0"/>
                            <w:jc w:val="left"/>
                            <w:rPr>
                              <w:sz w:val="20"/>
                            </w:rPr>
                          </w:pPr>
                          <w:r>
                            <w:rPr>
                              <w:spacing w:val="-10"/>
                              <w:sz w:val="20"/>
                            </w:rPr>
                            <w:t>1</w:t>
                          </w:r>
                        </w:p>
                      </w:txbxContent>
                    </wps:txbx>
                    <wps:bodyPr wrap="square" lIns="0" tIns="0" rIns="0" bIns="0" rtlCol="0">
                      <a:noAutofit/>
                    </wps:bodyPr>
                  </wps:wsp>
                </a:graphicData>
              </a:graphic>
            </wp:anchor>
          </w:drawing>
        </mc:Choice>
        <mc:Fallback>
          <w:pict>
            <v:shape style="position:absolute;margin-left:302.480011pt;margin-top:749.64502pt;width:7.1pt;height:12.05pt;mso-position-horizontal-relative:page;mso-position-vertical-relative:page;z-index:-15812608" type="#_x0000_t202" id="docshape4" filled="false" stroked="false">
              <v:textbox inset="0,0,0,0">
                <w:txbxContent>
                  <w:p>
                    <w:pPr>
                      <w:spacing w:line="224" w:lineRule="exact" w:before="0"/>
                      <w:ind w:left="20" w:right="0" w:firstLine="0"/>
                      <w:jc w:val="left"/>
                      <w:rPr>
                        <w:sz w:val="20"/>
                      </w:rPr>
                    </w:pPr>
                    <w:r>
                      <w:rPr>
                        <w:spacing w:val="-10"/>
                        <w:sz w:val="20"/>
                      </w:rPr>
                      <w:t>1</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2336">
              <wp:simplePos x="0" y="0"/>
              <wp:positionH relativeFrom="page">
                <wp:posOffset>3430778</wp:posOffset>
              </wp:positionH>
              <wp:positionV relativeFrom="page">
                <wp:posOffset>208279</wp:posOffset>
              </wp:positionV>
              <wp:extent cx="910590" cy="1778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10590" cy="177800"/>
                      </a:xfrm>
                      <a:prstGeom prst="rect">
                        <a:avLst/>
                      </a:prstGeom>
                    </wps:spPr>
                    <wps:txbx>
                      <w:txbxContent>
                        <w:p>
                          <w:pPr>
                            <w:pStyle w:val="BodyText"/>
                            <w:spacing w:line="264" w:lineRule="exact"/>
                            <w:ind w:left="20"/>
                          </w:pPr>
                          <w:r>
                            <w:rPr>
                              <w:color w:val="008000"/>
                              <w:spacing w:val="-2"/>
                            </w:rPr>
                            <w:t>UNCLASSIFIED</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0.140015pt;margin-top:16.4pt;width:71.7pt;height:14pt;mso-position-horizontal-relative:page;mso-position-vertical-relative:page;z-index:-15814144" type="#_x0000_t202" id="docshape1" filled="false" stroked="false">
              <v:textbox inset="0,0,0,0">
                <w:txbxContent>
                  <w:p>
                    <w:pPr>
                      <w:pStyle w:val="BodyText"/>
                      <w:spacing w:line="264" w:lineRule="exact"/>
                      <w:ind w:left="20"/>
                    </w:pPr>
                    <w:r>
                      <w:rPr>
                        <w:color w:val="008000"/>
                        <w:spacing w:val="-2"/>
                      </w:rPr>
                      <w:t>UNCLASSIFIED</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3360">
              <wp:simplePos x="0" y="0"/>
              <wp:positionH relativeFrom="page">
                <wp:posOffset>3430778</wp:posOffset>
              </wp:positionH>
              <wp:positionV relativeFrom="page">
                <wp:posOffset>208279</wp:posOffset>
              </wp:positionV>
              <wp:extent cx="910590" cy="1778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10590" cy="177800"/>
                      </a:xfrm>
                      <a:prstGeom prst="rect">
                        <a:avLst/>
                      </a:prstGeom>
                    </wps:spPr>
                    <wps:txbx>
                      <w:txbxContent>
                        <w:p>
                          <w:pPr>
                            <w:pStyle w:val="BodyText"/>
                            <w:spacing w:line="264" w:lineRule="exact"/>
                            <w:ind w:left="20"/>
                          </w:pPr>
                          <w:r>
                            <w:rPr>
                              <w:color w:val="008000"/>
                              <w:spacing w:val="-2"/>
                            </w:rPr>
                            <w:t>UNCLASSIFIED</w:t>
                          </w:r>
                        </w:p>
                      </w:txbxContent>
                    </wps:txbx>
                    <wps:bodyPr wrap="square" lIns="0" tIns="0" rIns="0" bIns="0" rtlCol="0">
                      <a:noAutofit/>
                    </wps:bodyPr>
                  </wps:wsp>
                </a:graphicData>
              </a:graphic>
            </wp:anchor>
          </w:drawing>
        </mc:Choice>
        <mc:Fallback>
          <w:pict>
            <v:shape style="position:absolute;margin-left:270.140015pt;margin-top:16.4pt;width:71.7pt;height:14pt;mso-position-horizontal-relative:page;mso-position-vertical-relative:page;z-index:-15813120" type="#_x0000_t202" id="docshape3" filled="false" stroked="false">
              <v:textbox inset="0,0,0,0">
                <w:txbxContent>
                  <w:p>
                    <w:pPr>
                      <w:pStyle w:val="BodyText"/>
                      <w:spacing w:line="264" w:lineRule="exact"/>
                      <w:ind w:left="20"/>
                    </w:pPr>
                    <w:r>
                      <w:rPr>
                        <w:color w:val="008000"/>
                        <w:spacing w:val="-2"/>
                      </w:rPr>
                      <w:t>UNCLASSIFIED</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BodyText" w:type="paragraph">
    <w:name w:val="Body Text"/>
    <w:basedOn w:val="Normal"/>
    <w:uiPriority w:val="1"/>
    <w:qFormat/>
    <w:pPr/>
    <w:rPr>
      <w:rFonts w:ascii="Calibri" w:hAnsi="Calibri" w:eastAsia="Calibri" w:cs="Calibri"/>
      <w:sz w:val="24"/>
      <w:szCs w:val="24"/>
      <w:lang w:val="fr-FR" w:eastAsia="en-US" w:bidi="ar-SA"/>
    </w:rPr>
  </w:style>
  <w:style w:styleId="Heading1" w:type="paragraph">
    <w:name w:val="Heading 1"/>
    <w:basedOn w:val="Normal"/>
    <w:uiPriority w:val="1"/>
    <w:qFormat/>
    <w:pPr>
      <w:spacing w:before="160"/>
      <w:ind w:left="1080"/>
      <w:jc w:val="both"/>
      <w:outlineLvl w:val="1"/>
    </w:pPr>
    <w:rPr>
      <w:rFonts w:ascii="Calibri" w:hAnsi="Calibri" w:eastAsia="Calibri" w:cs="Calibri"/>
      <w:sz w:val="28"/>
      <w:szCs w:val="28"/>
      <w:lang w:val="fr-FR" w:eastAsia="en-US" w:bidi="ar-SA"/>
    </w:rPr>
  </w:style>
  <w:style w:styleId="Heading2" w:type="paragraph">
    <w:name w:val="Heading 2"/>
    <w:basedOn w:val="Normal"/>
    <w:uiPriority w:val="1"/>
    <w:qFormat/>
    <w:pPr>
      <w:spacing w:before="198"/>
      <w:jc w:val="center"/>
      <w:outlineLvl w:val="2"/>
    </w:pPr>
    <w:rPr>
      <w:rFonts w:ascii="Calibri" w:hAnsi="Calibri" w:eastAsia="Calibri" w:cs="Calibri"/>
      <w:b/>
      <w:bCs/>
      <w:sz w:val="24"/>
      <w:szCs w:val="24"/>
      <w:lang w:val="fr-FR" w:eastAsia="en-US" w:bidi="ar-SA"/>
    </w:rPr>
  </w:style>
  <w:style w:styleId="ListParagraph" w:type="paragraph">
    <w:name w:val="List Paragraph"/>
    <w:basedOn w:val="Normal"/>
    <w:uiPriority w:val="1"/>
    <w:qFormat/>
    <w:pPr/>
    <w:rPr>
      <w:lang w:val="fr-FR" w:eastAsia="en-US" w:bidi="ar-SA"/>
    </w:rPr>
  </w:style>
  <w:style w:styleId="TableParagraph" w:type="paragraph">
    <w:name w:val="Table Paragraph"/>
    <w:basedOn w:val="Normal"/>
    <w:uiPriority w:val="1"/>
    <w:qFormat/>
    <w:pPr>
      <w:spacing w:before="85"/>
      <w:ind w:left="115"/>
    </w:pPr>
    <w:rPr>
      <w:rFonts w:ascii="Calibri" w:hAnsi="Calibri" w:eastAsia="Calibri" w:cs="Calibri"/>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www.mcc.gov/where-we-work/program/cote-divoire-regional-compact/" TargetMode="Externa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yperlink" Target="http://www.mcc.gov/ppg" TargetMode="External"/><Relationship Id="rId12" Type="http://schemas.openxmlformats.org/officeDocument/2006/relationships/hyperlink" Target="https://forms.cloud.microsoft/Pages/ResponsePage.aspx?id=-VFL3TjuDU-H0w_MGQSEz8ekjasqOyNOrKAK9LydjptUMENOQzFLOEhUOE01M0xXR1dLS1ZMRjRKNy4u" TargetMode="External"/><Relationship Id="rId13" Type="http://schemas.openxmlformats.org/officeDocument/2006/relationships/hyperlink" Target="https://u.pcloud.link/publink/show?code=kZfpm0JZewQLB4H3ilBLeD3M1qQj1jam14nX" TargetMode="External"/><Relationship Id="rId14" Type="http://schemas.openxmlformats.org/officeDocument/2006/relationships/hyperlink" Target="https://teams.microsoft.com/meet/261987809852710?p=4Y7tVAZjYsUUx9neWW" TargetMode="External"/><Relationship Id="rId15" Type="http://schemas.openxmlformats.org/officeDocument/2006/relationships/hyperlink" Target="https://u.pcloud.com/%23/puplink?code=2ACXZtceH2f6Ta4FVD6ITKcj5cVtGtvuV" TargetMode="External"/><Relationship Id="rId16" Type="http://schemas.openxmlformats.org/officeDocument/2006/relationships/hyperlink" Target="mailto:IPA.CIReg@dt-global.com" TargetMode="External"/><Relationship Id="rId17" Type="http://schemas.openxmlformats.org/officeDocument/2006/relationships/hyperlink" Target="mailto:sakoa@mcaciregional.ci" TargetMode="External"/><Relationship Id="rId18" Type="http://schemas.openxmlformats.org/officeDocument/2006/relationships/hyperlink" Target="https://cfpcr-mcc.ci/e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Manager/>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Millennium Challenge Corporation</dc:creator>
  <cp:category/>
  <dc:description/>
  <dc:title>Specific Procurement Notice (SPN) Template</dc:title>
  <dcterms:created xsi:type="dcterms:W3CDTF">2026-09-14T12:20:51Z</dcterms:created>
  <dcterms:modified xsi:type="dcterms:W3CDTF">2026-09-14T12:20:51Z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#008000,12,Calibri</vt:lpwstr>
  </property>
  <property fmtid="{D5CDD505-2E9C-101B-9397-08002B2CF9AE}" pid="3" name="ClassificationContentMarkingHeaderShapeIds">
    <vt:lpwstr>1,2,4</vt:lpwstr>
  </property>
  <property fmtid="{D5CDD505-2E9C-101B-9397-08002B2CF9AE}" pid="4" name="ClassificationContentMarkingHeaderText">
    <vt:lpwstr>UNCLASSIFIED</vt:lpwstr>
  </property>
  <property fmtid="{D5CDD505-2E9C-101B-9397-08002B2CF9AE}" pid="5" name="ContentTypeId">
    <vt:lpwstr>0x010100631481276ECE0642B1EB2BDF66D542D6</vt:lpwstr>
  </property>
  <property fmtid="{D5CDD505-2E9C-101B-9397-08002B2CF9AE}" pid="6" name="Converter">
    <vt:lpwstr>SolidFramework v10.0.19910.1</vt:lpwstr>
  </property>
  <property fmtid="{D5CDD505-2E9C-101B-9397-08002B2CF9AE}" pid="7" name="Created">
    <vt:filetime>2026-09-11T00:00:00Z</vt:filetime>
  </property>
  <property fmtid="{D5CDD505-2E9C-101B-9397-08002B2CF9AE}" pid="8" name="Creator">
    <vt:lpwstr>Acrobat PDFMaker 17 for Word</vt:lpwstr>
  </property>
  <property fmtid="{D5CDD505-2E9C-101B-9397-08002B2CF9AE}" pid="9" name="LastSaved">
    <vt:filetime>2026-09-14T00:00:00Z</vt:filetime>
  </property>
  <property fmtid="{D5CDD505-2E9C-101B-9397-08002B2CF9AE}" pid="10" name="MSIP_Label_676e9a81-9c38-4f91-9146-84cda847f359_ActionId">
    <vt:lpwstr>53c83f50-c20d-4411-a95e-d713832af733</vt:lpwstr>
  </property>
  <property fmtid="{D5CDD505-2E9C-101B-9397-08002B2CF9AE}" pid="11" name="MSIP_Label_676e9a81-9c38-4f91-9146-84cda847f359_ContentBits">
    <vt:lpwstr>1</vt:lpwstr>
  </property>
  <property fmtid="{D5CDD505-2E9C-101B-9397-08002B2CF9AE}" pid="12" name="MSIP_Label_676e9a81-9c38-4f91-9146-84cda847f359_Enabled">
    <vt:lpwstr>true</vt:lpwstr>
  </property>
  <property fmtid="{D5CDD505-2E9C-101B-9397-08002B2CF9AE}" pid="13" name="MSIP_Label_676e9a81-9c38-4f91-9146-84cda847f359_Method">
    <vt:lpwstr>Standard</vt:lpwstr>
  </property>
  <property fmtid="{D5CDD505-2E9C-101B-9397-08002B2CF9AE}" pid="14" name="MSIP_Label_676e9a81-9c38-4f91-9146-84cda847f359_Name">
    <vt:lpwstr>UNCLASSIFIED</vt:lpwstr>
  </property>
  <property fmtid="{D5CDD505-2E9C-101B-9397-08002B2CF9AE}" pid="15" name="MSIP_Label_676e9a81-9c38-4f91-9146-84cda847f359_SetDate">
    <vt:lpwstr>2024-07-09T14:28:36Z</vt:lpwstr>
  </property>
  <property fmtid="{D5CDD505-2E9C-101B-9397-08002B2CF9AE}" pid="16" name="MSIP_Label_676e9a81-9c38-4f91-9146-84cda847f359_SiteId">
    <vt:lpwstr>c12a9f27-505d-4fc6-9afa-a0fd65d9e984</vt:lpwstr>
  </property>
  <property fmtid="{D5CDD505-2E9C-101B-9397-08002B2CF9AE}" pid="17" name="Producer">
    <vt:lpwstr>Adobe PDF Library 17.11.238</vt:lpwstr>
  </property>
  <property fmtid="{D5CDD505-2E9C-101B-9397-08002B2CF9AE}" pid="18" name="SourceModified">
    <vt:lpwstr/>
  </property>
  <property fmtid="{D5CDD505-2E9C-101B-9397-08002B2CF9AE}" pid="19" name="_dlc_DocIdItemGuid">
    <vt:lpwstr>57472135-1cdb-46a0-9429-e40a7fde2141</vt:lpwstr>
  </property>
</Properties>
</file>